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F0" w:rsidRPr="0021751E" w:rsidRDefault="006C7CF0" w:rsidP="00DC2C37">
      <w:pPr>
        <w:spacing w:line="240" w:lineRule="auto"/>
        <w:jc w:val="center"/>
        <w:rPr>
          <w:rFonts w:cstheme="minorHAnsi"/>
          <w:b/>
          <w:bCs/>
        </w:rPr>
      </w:pPr>
      <w:r w:rsidRPr="0021751E">
        <w:rPr>
          <w:rFonts w:cstheme="minorHAnsi"/>
          <w:b/>
          <w:bCs/>
        </w:rPr>
        <w:t>RESPUESTAS PROCESO</w:t>
      </w:r>
      <w:r w:rsidR="001A7BF3" w:rsidRPr="0021751E">
        <w:rPr>
          <w:rFonts w:cstheme="minorHAnsi"/>
          <w:b/>
          <w:bCs/>
        </w:rPr>
        <w:t xml:space="preserve"> </w:t>
      </w:r>
      <w:r w:rsidR="001A7BF3" w:rsidRPr="0021751E">
        <w:rPr>
          <w:rFonts w:cstheme="minorHAnsi"/>
          <w:b/>
          <w:bCs/>
        </w:rPr>
        <w:t>DPYT 25-2022</w:t>
      </w:r>
    </w:p>
    <w:p w:rsidR="001A7BF3" w:rsidRPr="0021751E" w:rsidRDefault="001A7BF3" w:rsidP="00DC2C37">
      <w:pPr>
        <w:spacing w:line="240" w:lineRule="auto"/>
        <w:jc w:val="center"/>
        <w:rPr>
          <w:rFonts w:cstheme="minorHAnsi"/>
          <w:b/>
          <w:bCs/>
        </w:rPr>
      </w:pPr>
      <w:r w:rsidRPr="0021751E">
        <w:rPr>
          <w:rFonts w:cstheme="minorHAnsi"/>
          <w:b/>
          <w:bCs/>
        </w:rPr>
        <w:t>RENOVACIÓN DE EQUIPOS DE CÓMPUTO PARA LOS DIFERENTES PROCESOS DEL CANAL COMO FORTALECIMIENTO A LA PLATAFORMA TECNOLOLÓGICA</w:t>
      </w:r>
    </w:p>
    <w:p w:rsidR="006C7CF0" w:rsidRPr="007E4CCE" w:rsidRDefault="007E4CCE" w:rsidP="007E4CCE">
      <w:pPr>
        <w:spacing w:line="240" w:lineRule="auto"/>
        <w:ind w:left="-426"/>
        <w:rPr>
          <w:rFonts w:cstheme="minorHAnsi"/>
          <w:b/>
        </w:rPr>
      </w:pPr>
      <w:r w:rsidRPr="007E4CCE">
        <w:rPr>
          <w:rFonts w:cstheme="minorHAnsi"/>
          <w:b/>
        </w:rPr>
        <w:t>PREGUNTAS</w:t>
      </w:r>
      <w:r>
        <w:rPr>
          <w:rFonts w:cstheme="minorHAnsi"/>
          <w:b/>
        </w:rPr>
        <w:t xml:space="preserve"> </w:t>
      </w:r>
    </w:p>
    <w:p w:rsidR="006C7CF0" w:rsidRPr="007E4CCE" w:rsidRDefault="006C7CF0" w:rsidP="007E4CCE">
      <w:pPr>
        <w:pStyle w:val="Prrafodelista"/>
        <w:numPr>
          <w:ilvl w:val="0"/>
          <w:numId w:val="7"/>
        </w:numPr>
        <w:ind w:left="0"/>
        <w:jc w:val="both"/>
        <w:rPr>
          <w:rFonts w:cstheme="minorHAnsi"/>
        </w:rPr>
      </w:pPr>
      <w:r w:rsidRPr="007E4CCE">
        <w:rPr>
          <w:rFonts w:cstheme="minorHAnsi"/>
        </w:rPr>
        <w:t xml:space="preserve">En la página del </w:t>
      </w:r>
      <w:proofErr w:type="spellStart"/>
      <w:r w:rsidRPr="007E4CCE">
        <w:rPr>
          <w:rFonts w:cstheme="minorHAnsi"/>
        </w:rPr>
        <w:t>Secop</w:t>
      </w:r>
      <w:proofErr w:type="spellEnd"/>
      <w:r w:rsidRPr="007E4CCE">
        <w:rPr>
          <w:rFonts w:cstheme="minorHAnsi"/>
        </w:rPr>
        <w:t xml:space="preserve"> está estipulado un valor de $ 28.000.000, pero en el pliego términos de referencia el costo del proceso es de $ 94.422.466. </w:t>
      </w:r>
      <w:r w:rsidR="00310FCB" w:rsidRPr="007E4CCE">
        <w:rPr>
          <w:rFonts w:cstheme="minorHAnsi"/>
        </w:rPr>
        <w:t xml:space="preserve"> </w:t>
      </w:r>
      <w:proofErr w:type="gramStart"/>
      <w:r w:rsidRPr="007E4CCE">
        <w:rPr>
          <w:rFonts w:cstheme="minorHAnsi"/>
        </w:rPr>
        <w:t>Por favor indicar cuál es el valor del presupuesto?</w:t>
      </w:r>
      <w:proofErr w:type="gramEnd"/>
    </w:p>
    <w:p w:rsidR="006C7CF0" w:rsidRPr="0021751E" w:rsidRDefault="0021751E" w:rsidP="0074265F">
      <w:pPr>
        <w:spacing w:after="0" w:line="252" w:lineRule="auto"/>
        <w:jc w:val="both"/>
        <w:rPr>
          <w:rFonts w:cstheme="minorHAnsi"/>
          <w:color w:val="FF0000"/>
        </w:rPr>
      </w:pPr>
      <w:r w:rsidRPr="0021751E">
        <w:rPr>
          <w:rFonts w:cstheme="minorHAnsi"/>
          <w:color w:val="FF0000"/>
        </w:rPr>
        <w:t>R/ El</w:t>
      </w:r>
      <w:r w:rsidR="0074265F" w:rsidRPr="0021751E">
        <w:rPr>
          <w:rFonts w:cstheme="minorHAnsi"/>
          <w:color w:val="FF0000"/>
        </w:rPr>
        <w:t xml:space="preserve"> publicado en la invitación DPYT 25-2022</w:t>
      </w:r>
      <w:r w:rsidR="00310FCB">
        <w:rPr>
          <w:rFonts w:cstheme="minorHAnsi"/>
          <w:color w:val="FF0000"/>
        </w:rPr>
        <w:t>, Teleantioquia no cuenta con procesos publicados en la plataforma SECOP II</w:t>
      </w:r>
    </w:p>
    <w:p w:rsidR="0021751E" w:rsidRPr="0021751E" w:rsidRDefault="0021751E" w:rsidP="0074265F">
      <w:pPr>
        <w:spacing w:after="0" w:line="252" w:lineRule="auto"/>
        <w:jc w:val="both"/>
        <w:rPr>
          <w:rFonts w:cstheme="minorHAnsi"/>
          <w:color w:val="FF0000"/>
        </w:rPr>
      </w:pPr>
    </w:p>
    <w:p w:rsidR="0021751E" w:rsidRPr="0021751E" w:rsidRDefault="0021751E" w:rsidP="0074265F">
      <w:pPr>
        <w:spacing w:after="0" w:line="252" w:lineRule="auto"/>
        <w:jc w:val="both"/>
        <w:rPr>
          <w:rFonts w:cstheme="minorHAnsi"/>
          <w:i/>
          <w:color w:val="FF0000"/>
        </w:rPr>
      </w:pPr>
      <w:r w:rsidRPr="0021751E">
        <w:rPr>
          <w:rFonts w:cstheme="minorHAnsi"/>
          <w:i/>
          <w:color w:val="FF0000"/>
        </w:rPr>
        <w:t>El presupuesto oficial destinado para este trámite contractual es la suma de NOVENTA Y CUATRO MILLONES CUATROCIENTOS VEINTIDOS MIL CUATROCIENTOS SESENTA Y SEIS MIL PESOS. ($94.422.466) incluido el IVA, con Certificado de Disponibilidad Presupuestal número 0000000360.</w:t>
      </w:r>
    </w:p>
    <w:p w:rsidR="0074265F" w:rsidRPr="0021751E" w:rsidRDefault="0074265F" w:rsidP="0074265F">
      <w:pPr>
        <w:spacing w:after="0" w:line="252" w:lineRule="auto"/>
        <w:jc w:val="both"/>
        <w:rPr>
          <w:rFonts w:cstheme="minorHAnsi"/>
          <w:color w:val="00B050"/>
        </w:rPr>
      </w:pPr>
    </w:p>
    <w:p w:rsidR="006C7CF0" w:rsidRPr="0021751E" w:rsidRDefault="006C7CF0" w:rsidP="007E4CCE">
      <w:pPr>
        <w:pStyle w:val="Prrafodelista"/>
        <w:numPr>
          <w:ilvl w:val="0"/>
          <w:numId w:val="8"/>
        </w:numPr>
        <w:ind w:left="0"/>
        <w:jc w:val="both"/>
        <w:rPr>
          <w:rFonts w:cstheme="minorHAnsi"/>
          <w:sz w:val="24"/>
          <w:szCs w:val="24"/>
        </w:rPr>
      </w:pPr>
      <w:r w:rsidRPr="0021751E">
        <w:rPr>
          <w:rFonts w:cstheme="minorHAnsi"/>
        </w:rPr>
        <w:t>De igual manera solicitamos cambiar en la ficha técnica de los equipos AIO con el procesador Core-i5 11400 sea cambiado o aceptado por el de Core-i5 10210U, esto a razón de que los grandes fabricantes aún no tiene</w:t>
      </w:r>
      <w:r w:rsidR="00310FCB">
        <w:rPr>
          <w:rFonts w:cstheme="minorHAnsi"/>
        </w:rPr>
        <w:t>n</w:t>
      </w:r>
      <w:r w:rsidRPr="0021751E">
        <w:rPr>
          <w:rFonts w:cstheme="minorHAnsi"/>
        </w:rPr>
        <w:t xml:space="preserve"> en existencias, ni pronto por producir, este tipo de equipos (AIO) con esta generación de procesadores, entre otros debido a la escasez de componentes que aún hay a nivel mundial. En cuanto a los portátiles no hay problema, si hay disponibilidad en Colombia con procesadores de 11va generación como el solicitado, Core-i 5 11400.</w:t>
      </w:r>
    </w:p>
    <w:p w:rsidR="0074265F" w:rsidRPr="0021751E" w:rsidRDefault="0074265F" w:rsidP="0074265F">
      <w:pPr>
        <w:spacing w:after="0" w:line="252" w:lineRule="auto"/>
        <w:jc w:val="both"/>
        <w:rPr>
          <w:rFonts w:cstheme="minorHAnsi"/>
          <w:color w:val="FF0000"/>
        </w:rPr>
      </w:pPr>
      <w:r w:rsidRPr="0021751E">
        <w:rPr>
          <w:rFonts w:cstheme="minorHAnsi"/>
          <w:color w:val="FF0000"/>
        </w:rPr>
        <w:t>R/Se conservan las especificaciones técnicas de procesador como se indica en los términos de referencia</w:t>
      </w:r>
      <w:r w:rsidR="00310FCB">
        <w:rPr>
          <w:rFonts w:cstheme="minorHAnsi"/>
          <w:color w:val="FF0000"/>
        </w:rPr>
        <w:t>, de conformidad con los estudios realizados al interior de la entidad, estos son los requeridos para la necesidad actual</w:t>
      </w:r>
      <w:r w:rsidRPr="0021751E">
        <w:rPr>
          <w:rFonts w:cstheme="minorHAnsi"/>
          <w:color w:val="FF0000"/>
        </w:rPr>
        <w:t xml:space="preserve">. </w:t>
      </w:r>
    </w:p>
    <w:p w:rsidR="006C7CF0" w:rsidRDefault="006C7CF0" w:rsidP="006C7CF0">
      <w:pPr>
        <w:rPr>
          <w:rFonts w:ascii="Times New Roman" w:hAnsi="Times New Roman" w:cs="Times New Roman"/>
          <w:sz w:val="24"/>
          <w:szCs w:val="24"/>
        </w:rPr>
      </w:pPr>
    </w:p>
    <w:p w:rsidR="001502E5" w:rsidRPr="0021751E" w:rsidRDefault="001502E5" w:rsidP="001502E5">
      <w:pPr>
        <w:pStyle w:val="Prrafodelista"/>
        <w:spacing w:line="240" w:lineRule="auto"/>
        <w:ind w:left="0"/>
        <w:rPr>
          <w:rFonts w:cstheme="minorHAnsi"/>
          <w:b/>
        </w:rPr>
      </w:pPr>
    </w:p>
    <w:p w:rsidR="00A3405A" w:rsidRDefault="00A3405A" w:rsidP="007E4CCE">
      <w:pPr>
        <w:pStyle w:val="Prrafodelista"/>
        <w:numPr>
          <w:ilvl w:val="0"/>
          <w:numId w:val="8"/>
        </w:numPr>
        <w:spacing w:after="0" w:line="252" w:lineRule="auto"/>
        <w:ind w:left="0"/>
        <w:jc w:val="both"/>
        <w:rPr>
          <w:rFonts w:eastAsia="Times New Roman" w:cstheme="minorHAnsi"/>
        </w:rPr>
      </w:pPr>
      <w:r w:rsidRPr="007E4CCE">
        <w:rPr>
          <w:rFonts w:eastAsia="Times New Roman" w:cstheme="minorHAnsi"/>
        </w:rPr>
        <w:t xml:space="preserve">Ítem 1.1: se solicita comedidamente a la entidad se detalle el alcance técnico de los equipos requeridos por la entidad y aclarar: </w:t>
      </w:r>
    </w:p>
    <w:p w:rsidR="007E4CCE" w:rsidRPr="007E4CCE" w:rsidRDefault="007E4CCE" w:rsidP="007E4CCE">
      <w:pPr>
        <w:pStyle w:val="Prrafodelista"/>
        <w:spacing w:after="0" w:line="252" w:lineRule="auto"/>
        <w:ind w:left="0"/>
        <w:jc w:val="both"/>
        <w:rPr>
          <w:rFonts w:eastAsia="Times New Roman" w:cstheme="minorHAnsi"/>
        </w:rPr>
      </w:pPr>
    </w:p>
    <w:p w:rsidR="00A3405A" w:rsidRDefault="001502E5" w:rsidP="007E4CCE">
      <w:pPr>
        <w:spacing w:line="252" w:lineRule="auto"/>
        <w:ind w:left="-142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A3405A" w:rsidRPr="001502E5">
        <w:rPr>
          <w:rFonts w:cstheme="minorHAnsi"/>
          <w:b/>
          <w:bCs/>
        </w:rPr>
        <w:t>Para los equipos AIO</w:t>
      </w:r>
    </w:p>
    <w:p w:rsidR="007E4CCE" w:rsidRPr="001502E5" w:rsidRDefault="007E4CCE" w:rsidP="007E4CCE">
      <w:pPr>
        <w:spacing w:line="252" w:lineRule="auto"/>
        <w:ind w:left="-142"/>
        <w:contextualSpacing/>
        <w:jc w:val="both"/>
        <w:rPr>
          <w:rFonts w:cstheme="minorHAnsi"/>
          <w:b/>
          <w:bCs/>
        </w:rPr>
      </w:pPr>
    </w:p>
    <w:p w:rsidR="00A3405A" w:rsidRPr="001502E5" w:rsidRDefault="00A3405A" w:rsidP="007E4CCE">
      <w:pPr>
        <w:numPr>
          <w:ilvl w:val="1"/>
          <w:numId w:val="2"/>
        </w:numPr>
        <w:spacing w:after="0" w:line="252" w:lineRule="auto"/>
        <w:ind w:left="426"/>
        <w:jc w:val="both"/>
        <w:rPr>
          <w:rFonts w:eastAsia="Times New Roman" w:cstheme="minorHAnsi"/>
        </w:rPr>
      </w:pPr>
      <w:r w:rsidRPr="001502E5">
        <w:rPr>
          <w:rFonts w:eastAsia="Times New Roman" w:cstheme="minorHAnsi"/>
        </w:rPr>
        <w:t>Se solicita que para estos modelos de 21.5”, el procesador sea de CORE I5-10400T o superior.</w:t>
      </w:r>
    </w:p>
    <w:p w:rsidR="00A3405A" w:rsidRPr="001502E5" w:rsidRDefault="00A3405A" w:rsidP="007E4CCE">
      <w:pPr>
        <w:spacing w:after="0" w:line="252" w:lineRule="auto"/>
        <w:ind w:left="426"/>
        <w:jc w:val="both"/>
        <w:rPr>
          <w:rFonts w:eastAsia="Times New Roman" w:cstheme="minorHAnsi"/>
          <w:color w:val="FF0000"/>
        </w:rPr>
      </w:pPr>
      <w:r w:rsidRPr="001502E5">
        <w:rPr>
          <w:rFonts w:eastAsia="Times New Roman" w:cstheme="minorHAnsi"/>
          <w:color w:val="FF0000"/>
        </w:rPr>
        <w:t>R/</w:t>
      </w:r>
      <w:r w:rsidR="001502E5" w:rsidRPr="001502E5">
        <w:rPr>
          <w:rFonts w:eastAsia="Times New Roman" w:cstheme="minorHAnsi"/>
          <w:color w:val="FF0000"/>
        </w:rPr>
        <w:t xml:space="preserve">No se acepta cambio. </w:t>
      </w:r>
      <w:r w:rsidR="007C1C05" w:rsidRPr="001502E5">
        <w:rPr>
          <w:rFonts w:eastAsia="Times New Roman" w:cstheme="minorHAnsi"/>
          <w:color w:val="FF0000"/>
        </w:rPr>
        <w:t xml:space="preserve">Se conservan las especificaciones técnicas </w:t>
      </w:r>
      <w:r w:rsidR="00357BD0" w:rsidRPr="001502E5">
        <w:rPr>
          <w:rFonts w:eastAsia="Times New Roman" w:cstheme="minorHAnsi"/>
          <w:color w:val="FF0000"/>
        </w:rPr>
        <w:t xml:space="preserve">de procesador </w:t>
      </w:r>
      <w:r w:rsidR="007C1C05" w:rsidRPr="001502E5">
        <w:rPr>
          <w:rFonts w:eastAsia="Times New Roman" w:cstheme="minorHAnsi"/>
          <w:color w:val="FF0000"/>
        </w:rPr>
        <w:t>como se indica en los términos de referencia</w:t>
      </w:r>
      <w:r w:rsidR="00310FCB">
        <w:rPr>
          <w:rFonts w:eastAsia="Times New Roman" w:cstheme="minorHAnsi"/>
          <w:color w:val="FF0000"/>
        </w:rPr>
        <w:t>, de conformidad con la respuesta anterior.</w:t>
      </w:r>
    </w:p>
    <w:p w:rsidR="00A3405A" w:rsidRPr="001502E5" w:rsidRDefault="00A3405A" w:rsidP="007E4CCE">
      <w:pPr>
        <w:numPr>
          <w:ilvl w:val="1"/>
          <w:numId w:val="2"/>
        </w:numPr>
        <w:spacing w:after="0" w:line="252" w:lineRule="auto"/>
        <w:ind w:left="426"/>
        <w:jc w:val="both"/>
        <w:rPr>
          <w:rFonts w:eastAsia="Times New Roman" w:cstheme="minorHAnsi"/>
        </w:rPr>
      </w:pPr>
      <w:r w:rsidRPr="001502E5">
        <w:rPr>
          <w:rFonts w:eastAsia="Times New Roman" w:cstheme="minorHAnsi"/>
        </w:rPr>
        <w:t>Si el requerimiento de procesador no es aceptado, Se solicita que el requerimiento de pantalla sea de 21.5” O SUPERIOR para tener una pluralidad de oferentes ya que únicamente podríamos cumplir si tenemos pantallas de mínimo 23.8”.</w:t>
      </w:r>
    </w:p>
    <w:p w:rsidR="007C1C05" w:rsidRPr="00310FCB" w:rsidRDefault="007C1C05" w:rsidP="007E4CCE">
      <w:pPr>
        <w:spacing w:after="0" w:line="252" w:lineRule="auto"/>
        <w:ind w:left="426"/>
        <w:jc w:val="both"/>
        <w:rPr>
          <w:rFonts w:eastAsia="Times New Roman" w:cstheme="minorHAnsi"/>
          <w:color w:val="FF0000"/>
        </w:rPr>
      </w:pPr>
      <w:r w:rsidRPr="00310FCB">
        <w:rPr>
          <w:rFonts w:eastAsia="Times New Roman" w:cstheme="minorHAnsi"/>
          <w:color w:val="FF0000"/>
        </w:rPr>
        <w:t xml:space="preserve">R/ Se acepta </w:t>
      </w:r>
      <w:r w:rsidR="00A97FD7" w:rsidRPr="00310FCB">
        <w:rPr>
          <w:rFonts w:eastAsia="Times New Roman" w:cstheme="minorHAnsi"/>
          <w:color w:val="FF0000"/>
        </w:rPr>
        <w:t xml:space="preserve">pantalla entre </w:t>
      </w:r>
      <w:r w:rsidR="00CA6DAD" w:rsidRPr="00310FCB">
        <w:rPr>
          <w:rFonts w:eastAsia="Times New Roman" w:cstheme="minorHAnsi"/>
          <w:color w:val="FF0000"/>
        </w:rPr>
        <w:t>&gt;= 21.5</w:t>
      </w:r>
      <w:r w:rsidR="00310FCB" w:rsidRPr="00310FCB">
        <w:rPr>
          <w:rFonts w:eastAsia="Times New Roman" w:cstheme="minorHAnsi"/>
          <w:color w:val="FF0000"/>
        </w:rPr>
        <w:t>” y &lt;= 24, siempre y cuando cumpla con las demás características técnicas, incluido el procesador.</w:t>
      </w:r>
    </w:p>
    <w:p w:rsidR="00A3405A" w:rsidRPr="001502E5" w:rsidRDefault="00A3405A" w:rsidP="007E4CCE">
      <w:pPr>
        <w:numPr>
          <w:ilvl w:val="1"/>
          <w:numId w:val="2"/>
        </w:numPr>
        <w:spacing w:after="0" w:line="252" w:lineRule="auto"/>
        <w:ind w:left="426"/>
        <w:jc w:val="both"/>
        <w:rPr>
          <w:rFonts w:eastAsia="Times New Roman" w:cstheme="minorHAnsi"/>
        </w:rPr>
      </w:pPr>
      <w:r w:rsidRPr="001502E5">
        <w:rPr>
          <w:rFonts w:eastAsia="Times New Roman" w:cstheme="minorHAnsi"/>
        </w:rPr>
        <w:t>¿La entidad necesita red inalámbrica en los AIO? Ya que este requerimiento no es de fábrica, por favor confirmar.</w:t>
      </w:r>
    </w:p>
    <w:p w:rsidR="00C52512" w:rsidRPr="007E4CCE" w:rsidRDefault="00C52512" w:rsidP="007E4CCE">
      <w:pPr>
        <w:spacing w:after="0" w:line="252" w:lineRule="auto"/>
        <w:ind w:left="426"/>
        <w:jc w:val="both"/>
        <w:rPr>
          <w:rFonts w:eastAsia="Times New Roman" w:cstheme="minorHAnsi"/>
          <w:color w:val="FF0000"/>
          <w:sz w:val="24"/>
          <w:szCs w:val="24"/>
        </w:rPr>
      </w:pPr>
      <w:r w:rsidRPr="007E4CCE">
        <w:rPr>
          <w:rFonts w:eastAsia="Times New Roman" w:cstheme="minorHAnsi"/>
          <w:color w:val="FF0000"/>
        </w:rPr>
        <w:t>R/ Si se requiere</w:t>
      </w:r>
      <w:r w:rsidRPr="007E4CCE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:rsidR="00CA6DAD" w:rsidRPr="001502E5" w:rsidRDefault="00CA6DAD" w:rsidP="007E4CCE">
      <w:pPr>
        <w:spacing w:after="0" w:line="252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</w:rPr>
      </w:pPr>
    </w:p>
    <w:p w:rsidR="00CA6DAD" w:rsidRPr="001502E5" w:rsidRDefault="00CA6DAD" w:rsidP="007E4CCE">
      <w:pPr>
        <w:pStyle w:val="Prrafodelista"/>
        <w:spacing w:after="0" w:line="252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</w:rPr>
      </w:pPr>
    </w:p>
    <w:p w:rsidR="00A3405A" w:rsidRPr="007E4CCE" w:rsidRDefault="00A3405A" w:rsidP="007E4CCE">
      <w:pPr>
        <w:numPr>
          <w:ilvl w:val="1"/>
          <w:numId w:val="2"/>
        </w:numPr>
        <w:spacing w:after="0" w:line="252" w:lineRule="auto"/>
        <w:ind w:left="426"/>
        <w:jc w:val="both"/>
        <w:rPr>
          <w:rFonts w:eastAsia="Times New Roman" w:cstheme="minorHAnsi"/>
        </w:rPr>
      </w:pPr>
      <w:r w:rsidRPr="007E4CCE">
        <w:rPr>
          <w:rFonts w:eastAsia="Times New Roman" w:cstheme="minorHAnsi"/>
        </w:rPr>
        <w:t>¿La garantía solicitada es en sitio? Y que esta debe ser prestada directamente por el fabricante y no por el Canal Ya que no está detallada. Por favor confirmar.</w:t>
      </w:r>
    </w:p>
    <w:p w:rsidR="00C52512" w:rsidRDefault="00C52512" w:rsidP="007E4CCE">
      <w:pPr>
        <w:spacing w:after="0" w:line="252" w:lineRule="auto"/>
        <w:ind w:left="426"/>
        <w:jc w:val="both"/>
        <w:rPr>
          <w:rFonts w:eastAsia="Times New Roman" w:cstheme="minorHAnsi"/>
          <w:i/>
          <w:color w:val="FF0000"/>
        </w:rPr>
      </w:pPr>
      <w:r w:rsidRPr="007E4CCE">
        <w:rPr>
          <w:rFonts w:eastAsia="Times New Roman" w:cstheme="minorHAnsi"/>
          <w:color w:val="FF0000"/>
        </w:rPr>
        <w:t>R/En el alcance dice: “</w:t>
      </w:r>
      <w:r w:rsidRPr="007E4CCE">
        <w:rPr>
          <w:rFonts w:eastAsia="Times New Roman" w:cstheme="minorHAnsi"/>
          <w:i/>
          <w:color w:val="FF0000"/>
        </w:rPr>
        <w:t>El interesado deberá prestar la asesoría y acompañamiento</w:t>
      </w:r>
      <w:r w:rsidR="00162FA1" w:rsidRPr="007E4CCE">
        <w:rPr>
          <w:rFonts w:eastAsia="Times New Roman" w:cstheme="minorHAnsi"/>
          <w:i/>
          <w:color w:val="FF0000"/>
        </w:rPr>
        <w:t xml:space="preserve"> durante el tiempo previsto en la garantía. Teleantioquia, podrá exigir el cambio de los equipos o componentes defectuosos, que no cumplan con los requisitos exigidos en el presente documento” </w:t>
      </w:r>
      <w:r w:rsidRPr="007E4CCE">
        <w:rPr>
          <w:rFonts w:eastAsia="Times New Roman" w:cstheme="minorHAnsi"/>
          <w:i/>
          <w:color w:val="FF0000"/>
        </w:rPr>
        <w:t xml:space="preserve"> </w:t>
      </w:r>
    </w:p>
    <w:p w:rsidR="007E4CCE" w:rsidRPr="007E4CCE" w:rsidRDefault="007E4CCE" w:rsidP="001502E5">
      <w:pPr>
        <w:spacing w:after="0" w:line="252" w:lineRule="auto"/>
        <w:ind w:left="284"/>
        <w:jc w:val="both"/>
        <w:rPr>
          <w:rFonts w:eastAsia="Times New Roman" w:cstheme="minorHAnsi"/>
          <w:i/>
          <w:color w:val="FF0000"/>
        </w:rPr>
      </w:pPr>
    </w:p>
    <w:p w:rsidR="00A3405A" w:rsidRPr="007E4CCE" w:rsidRDefault="00A3405A" w:rsidP="001502E5">
      <w:pPr>
        <w:spacing w:line="252" w:lineRule="auto"/>
        <w:ind w:left="-142"/>
        <w:jc w:val="both"/>
        <w:rPr>
          <w:rFonts w:cstheme="minorHAnsi"/>
          <w:b/>
          <w:bCs/>
        </w:rPr>
      </w:pPr>
      <w:r w:rsidRPr="007E4CCE">
        <w:rPr>
          <w:rFonts w:cstheme="minorHAnsi"/>
          <w:b/>
          <w:bCs/>
        </w:rPr>
        <w:t>Para los Portátiles</w:t>
      </w:r>
    </w:p>
    <w:p w:rsidR="00A3405A" w:rsidRPr="001502E5" w:rsidRDefault="00A3405A" w:rsidP="007E4CCE">
      <w:pPr>
        <w:numPr>
          <w:ilvl w:val="1"/>
          <w:numId w:val="2"/>
        </w:numPr>
        <w:spacing w:after="0" w:line="252" w:lineRule="auto"/>
        <w:ind w:left="426"/>
        <w:jc w:val="both"/>
        <w:rPr>
          <w:rFonts w:eastAsia="Times New Roman" w:cstheme="minorHAnsi"/>
        </w:rPr>
      </w:pPr>
      <w:r w:rsidRPr="001502E5">
        <w:rPr>
          <w:rFonts w:eastAsia="Times New Roman" w:cstheme="minorHAnsi"/>
        </w:rPr>
        <w:t>¿Se requiere que los portátiles tengan cámara integrada? Por favor confirmar.</w:t>
      </w:r>
      <w:r w:rsidR="001B262C" w:rsidRPr="001502E5">
        <w:rPr>
          <w:rFonts w:eastAsia="Times New Roman" w:cstheme="minorHAnsi"/>
        </w:rPr>
        <w:t xml:space="preserve"> </w:t>
      </w:r>
    </w:p>
    <w:p w:rsidR="001B262C" w:rsidRPr="001502E5" w:rsidRDefault="0074265F" w:rsidP="007E4CCE">
      <w:pPr>
        <w:spacing w:after="0" w:line="252" w:lineRule="auto"/>
        <w:ind w:left="426"/>
        <w:jc w:val="both"/>
        <w:rPr>
          <w:rFonts w:eastAsia="Times New Roman" w:cstheme="minorHAnsi"/>
          <w:color w:val="FF0000"/>
        </w:rPr>
      </w:pPr>
      <w:r w:rsidRPr="001502E5">
        <w:rPr>
          <w:rFonts w:eastAsia="Times New Roman" w:cstheme="minorHAnsi"/>
          <w:color w:val="FF0000"/>
        </w:rPr>
        <w:t>R/Sí</w:t>
      </w:r>
      <w:r w:rsidR="001B262C" w:rsidRPr="001502E5">
        <w:rPr>
          <w:rFonts w:eastAsia="Times New Roman" w:cstheme="minorHAnsi"/>
          <w:color w:val="FF0000"/>
        </w:rPr>
        <w:t>. La configuración de los portátiles, incluyen cámara.</w:t>
      </w:r>
    </w:p>
    <w:p w:rsidR="001502E5" w:rsidRDefault="001502E5" w:rsidP="001502E5">
      <w:pPr>
        <w:spacing w:after="0" w:line="252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A3405A" w:rsidRPr="007E4CCE" w:rsidRDefault="00A3405A" w:rsidP="007E4CCE">
      <w:pPr>
        <w:pStyle w:val="Prrafodelista"/>
        <w:numPr>
          <w:ilvl w:val="0"/>
          <w:numId w:val="8"/>
        </w:numPr>
        <w:spacing w:after="0" w:line="252" w:lineRule="auto"/>
        <w:ind w:left="142" w:hanging="491"/>
        <w:jc w:val="both"/>
        <w:rPr>
          <w:rFonts w:eastAsia="Times New Roman" w:cstheme="minorHAnsi"/>
        </w:rPr>
      </w:pPr>
      <w:r w:rsidRPr="007E4CCE">
        <w:rPr>
          <w:rFonts w:eastAsia="Times New Roman" w:cstheme="minorHAnsi"/>
        </w:rPr>
        <w:t>¿Se solicita detallar a que se refiere la entidad con prestar asesoría y acompañamiento durante el tiempo previsto de la garantía?</w:t>
      </w:r>
    </w:p>
    <w:p w:rsidR="001B262C" w:rsidRPr="001502E5" w:rsidRDefault="001B262C" w:rsidP="001502E5">
      <w:pPr>
        <w:spacing w:after="0" w:line="252" w:lineRule="auto"/>
        <w:ind w:left="142"/>
        <w:jc w:val="both"/>
        <w:rPr>
          <w:rFonts w:eastAsia="Times New Roman" w:cstheme="minorHAnsi"/>
          <w:color w:val="538135" w:themeColor="accent6" w:themeShade="BF"/>
        </w:rPr>
      </w:pPr>
      <w:r w:rsidRPr="00F5344B">
        <w:rPr>
          <w:rFonts w:eastAsia="Times New Roman" w:cstheme="minorHAnsi"/>
          <w:color w:val="FF0000"/>
        </w:rPr>
        <w:t>R/ Asumir las responsabilidades como proveedor seleccionado</w:t>
      </w:r>
      <w:r w:rsidR="00357BD0" w:rsidRPr="00F5344B">
        <w:rPr>
          <w:rFonts w:eastAsia="Times New Roman" w:cstheme="minorHAnsi"/>
          <w:color w:val="FF0000"/>
        </w:rPr>
        <w:t xml:space="preserve">, respondiendo a las exigencias </w:t>
      </w:r>
      <w:r w:rsidR="00A83080" w:rsidRPr="00F5344B">
        <w:rPr>
          <w:rFonts w:eastAsia="Times New Roman" w:cstheme="minorHAnsi"/>
          <w:color w:val="FF0000"/>
        </w:rPr>
        <w:t xml:space="preserve">del contrato, haciendo cumplir las garantías </w:t>
      </w:r>
      <w:r w:rsidR="00645572" w:rsidRPr="00F5344B">
        <w:rPr>
          <w:rFonts w:eastAsia="Times New Roman" w:cstheme="minorHAnsi"/>
          <w:color w:val="FF0000"/>
        </w:rPr>
        <w:t xml:space="preserve">y amparos </w:t>
      </w:r>
      <w:r w:rsidR="007E4CCE">
        <w:rPr>
          <w:rFonts w:eastAsia="Times New Roman" w:cstheme="minorHAnsi"/>
          <w:color w:val="FF0000"/>
        </w:rPr>
        <w:t>considerados</w:t>
      </w:r>
      <w:r w:rsidR="00645572" w:rsidRPr="001502E5">
        <w:rPr>
          <w:rFonts w:eastAsia="Times New Roman" w:cstheme="minorHAnsi"/>
          <w:color w:val="538135" w:themeColor="accent6" w:themeShade="BF"/>
        </w:rPr>
        <w:t xml:space="preserve">. </w:t>
      </w:r>
    </w:p>
    <w:p w:rsidR="00A3405A" w:rsidRDefault="00A3405A" w:rsidP="00A3405A">
      <w:pPr>
        <w:spacing w:line="252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A3405A" w:rsidRDefault="00A3405A" w:rsidP="00A3405A">
      <w:pPr>
        <w:spacing w:line="240" w:lineRule="auto"/>
      </w:pPr>
    </w:p>
    <w:sectPr w:rsidR="00A34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2DB"/>
    <w:multiLevelType w:val="hybridMultilevel"/>
    <w:tmpl w:val="3782F3A2"/>
    <w:lvl w:ilvl="0" w:tplc="9392D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01F"/>
    <w:multiLevelType w:val="multilevel"/>
    <w:tmpl w:val="EA041C84"/>
    <w:lvl w:ilvl="0">
      <w:start w:val="2"/>
      <w:numFmt w:val="decimal"/>
      <w:lvlText w:val="%1."/>
      <w:lvlJc w:val="left"/>
      <w:pPr>
        <w:ind w:left="400" w:hanging="400"/>
      </w:pPr>
      <w:rPr>
        <w:rFonts w:ascii="Tahoma" w:eastAsiaTheme="minorHAnsi" w:hAnsi="Tahoma" w:cs="Tahoma" w:hint="default"/>
        <w:sz w:val="24"/>
      </w:rPr>
    </w:lvl>
    <w:lvl w:ilvl="1">
      <w:start w:val="2"/>
      <w:numFmt w:val="decimal"/>
      <w:lvlText w:val="%1.%2."/>
      <w:lvlJc w:val="left"/>
      <w:pPr>
        <w:ind w:left="542" w:hanging="40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ahoma" w:eastAsiaTheme="minorHAnsi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ahoma" w:eastAsiaTheme="minorHAnsi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ahoma" w:eastAsiaTheme="minorHAnsi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ahoma" w:eastAsiaTheme="minorHAnsi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ahoma" w:eastAsiaTheme="minorHAnsi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ahoma" w:eastAsiaTheme="minorHAnsi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ahoma" w:eastAsiaTheme="minorHAnsi" w:hAnsi="Tahoma" w:cs="Tahoma" w:hint="default"/>
        <w:sz w:val="24"/>
      </w:rPr>
    </w:lvl>
  </w:abstractNum>
  <w:abstractNum w:abstractNumId="2" w15:restartNumberingAfterBreak="0">
    <w:nsid w:val="0E8009E8"/>
    <w:multiLevelType w:val="hybridMultilevel"/>
    <w:tmpl w:val="E8C8F6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3FCC"/>
    <w:multiLevelType w:val="multilevel"/>
    <w:tmpl w:val="4ED824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4" w15:restartNumberingAfterBreak="0">
    <w:nsid w:val="2ACD46CD"/>
    <w:multiLevelType w:val="multilevel"/>
    <w:tmpl w:val="1D3E2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CF4AF0"/>
    <w:multiLevelType w:val="multilevel"/>
    <w:tmpl w:val="210C388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6" w15:restartNumberingAfterBreak="0">
    <w:nsid w:val="406F13E0"/>
    <w:multiLevelType w:val="multilevel"/>
    <w:tmpl w:val="C644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106065"/>
    <w:multiLevelType w:val="hybridMultilevel"/>
    <w:tmpl w:val="1B8E9F8C"/>
    <w:lvl w:ilvl="0" w:tplc="E2FA145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F0"/>
    <w:rsid w:val="001502E5"/>
    <w:rsid w:val="00162FA1"/>
    <w:rsid w:val="001A7BF3"/>
    <w:rsid w:val="001B262C"/>
    <w:rsid w:val="0021751E"/>
    <w:rsid w:val="00310FCB"/>
    <w:rsid w:val="00357BD0"/>
    <w:rsid w:val="00645572"/>
    <w:rsid w:val="006C7CF0"/>
    <w:rsid w:val="0074265F"/>
    <w:rsid w:val="007C1C05"/>
    <w:rsid w:val="007E4CCE"/>
    <w:rsid w:val="007F7E31"/>
    <w:rsid w:val="00A3405A"/>
    <w:rsid w:val="00A83080"/>
    <w:rsid w:val="00A97FD7"/>
    <w:rsid w:val="00AE62C6"/>
    <w:rsid w:val="00C52512"/>
    <w:rsid w:val="00CA6DAD"/>
    <w:rsid w:val="00DC2C37"/>
    <w:rsid w:val="00E33D3C"/>
    <w:rsid w:val="00E35397"/>
    <w:rsid w:val="00F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362D4"/>
  <w15:chartTrackingRefBased/>
  <w15:docId w15:val="{54B3F36B-BDAC-4A65-912D-5A6FA3A8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C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Sierra Morales</dc:creator>
  <cp:keywords/>
  <dc:description/>
  <cp:lastModifiedBy>Hugo Alberto Sierra Morales</cp:lastModifiedBy>
  <cp:revision>6</cp:revision>
  <dcterms:created xsi:type="dcterms:W3CDTF">2022-02-15T20:55:00Z</dcterms:created>
  <dcterms:modified xsi:type="dcterms:W3CDTF">2022-02-15T21:32:00Z</dcterms:modified>
</cp:coreProperties>
</file>