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8B" w:rsidRPr="0002388B" w:rsidRDefault="0002388B" w:rsidP="0002388B">
      <w:pPr>
        <w:jc w:val="center"/>
        <w:rPr>
          <w:b/>
        </w:rPr>
      </w:pPr>
      <w:r w:rsidRPr="0002388B">
        <w:rPr>
          <w:b/>
        </w:rPr>
        <w:t>ANEXO 1</w:t>
      </w:r>
    </w:p>
    <w:p w:rsidR="009D4011" w:rsidRPr="00CD4D14" w:rsidRDefault="009D4011" w:rsidP="009D4011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cstheme="minorHAnsi"/>
          <w:b/>
          <w:spacing w:val="-3"/>
          <w:sz w:val="24"/>
          <w:szCs w:val="24"/>
        </w:rPr>
      </w:pPr>
      <w:r w:rsidRPr="007E3F81">
        <w:rPr>
          <w:rFonts w:cstheme="minorHAnsi"/>
          <w:b/>
          <w:spacing w:val="-3"/>
          <w:sz w:val="24"/>
          <w:szCs w:val="24"/>
        </w:rPr>
        <w:t>SOLICITUD DE COTIZACI</w:t>
      </w:r>
      <w:r>
        <w:rPr>
          <w:rFonts w:cstheme="minorHAnsi"/>
          <w:b/>
          <w:spacing w:val="-3"/>
          <w:sz w:val="24"/>
          <w:szCs w:val="24"/>
        </w:rPr>
        <w:t>ÓN</w:t>
      </w:r>
      <w:r w:rsidRPr="007E3F81">
        <w:rPr>
          <w:rFonts w:cstheme="minorHAnsi"/>
          <w:b/>
          <w:spacing w:val="-3"/>
          <w:sz w:val="24"/>
          <w:szCs w:val="24"/>
        </w:rPr>
        <w:t xml:space="preserve"> </w:t>
      </w:r>
      <w:r w:rsidRPr="00A720D6">
        <w:rPr>
          <w:rFonts w:cstheme="minorHAnsi"/>
          <w:b/>
          <w:spacing w:val="-3"/>
          <w:sz w:val="24"/>
          <w:szCs w:val="24"/>
        </w:rPr>
        <w:t>D</w:t>
      </w:r>
      <w:r>
        <w:rPr>
          <w:rFonts w:cstheme="minorHAnsi"/>
          <w:b/>
          <w:spacing w:val="-3"/>
          <w:sz w:val="24"/>
          <w:szCs w:val="24"/>
        </w:rPr>
        <w:t>PYT 15</w:t>
      </w:r>
      <w:r w:rsidRPr="00A720D6">
        <w:rPr>
          <w:rFonts w:cstheme="minorHAnsi"/>
          <w:b/>
          <w:spacing w:val="-3"/>
          <w:sz w:val="24"/>
          <w:szCs w:val="24"/>
        </w:rPr>
        <w:t>-2022</w:t>
      </w:r>
    </w:p>
    <w:p w:rsidR="009D4011" w:rsidRPr="00832652" w:rsidRDefault="009D4011" w:rsidP="009D4011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cstheme="minorHAnsi"/>
          <w:b/>
          <w:spacing w:val="-3"/>
          <w:sz w:val="24"/>
          <w:szCs w:val="24"/>
          <w:lang w:val="es-ES_tradnl"/>
        </w:rPr>
      </w:pPr>
      <w:r w:rsidRPr="00CD4D14">
        <w:rPr>
          <w:rFonts w:cstheme="minorHAnsi"/>
          <w:b/>
          <w:spacing w:val="-3"/>
          <w:sz w:val="24"/>
          <w:szCs w:val="24"/>
        </w:rPr>
        <w:t xml:space="preserve">ALQUILER DE UNIDAD MÓVIL Y OTROS EQUIPOS </w:t>
      </w:r>
      <w:r w:rsidRPr="00832652">
        <w:rPr>
          <w:rFonts w:cstheme="minorHAnsi"/>
          <w:b/>
          <w:spacing w:val="-3"/>
          <w:sz w:val="24"/>
          <w:szCs w:val="24"/>
          <w:lang w:val="es-ES_tradnl"/>
        </w:rPr>
        <w:t xml:space="preserve">PARA </w:t>
      </w:r>
      <w:r>
        <w:rPr>
          <w:rFonts w:cstheme="minorHAnsi"/>
          <w:b/>
          <w:spacing w:val="-3"/>
          <w:sz w:val="24"/>
          <w:szCs w:val="24"/>
          <w:lang w:val="es-ES_tradnl"/>
        </w:rPr>
        <w:t>LOS</w:t>
      </w:r>
      <w:r w:rsidRPr="00832652">
        <w:rPr>
          <w:rFonts w:ascii="Calibri" w:hAnsi="Calibri" w:cs="Calibri"/>
          <w:b/>
          <w:sz w:val="24"/>
        </w:rPr>
        <w:t xml:space="preserve"> PROGRAMA</w:t>
      </w:r>
      <w:r>
        <w:rPr>
          <w:rFonts w:ascii="Calibri" w:hAnsi="Calibri" w:cs="Calibri"/>
          <w:b/>
          <w:sz w:val="24"/>
        </w:rPr>
        <w:t>S</w:t>
      </w:r>
      <w:r w:rsidRPr="00832652">
        <w:rPr>
          <w:rFonts w:ascii="Calibri" w:hAnsi="Calibri" w:cs="Calibri"/>
          <w:b/>
          <w:sz w:val="24"/>
        </w:rPr>
        <w:t xml:space="preserve"> SERENATA</w:t>
      </w:r>
      <w:r>
        <w:rPr>
          <w:rFonts w:ascii="Calibri" w:hAnsi="Calibri" w:cs="Calibri"/>
          <w:b/>
          <w:sz w:val="24"/>
        </w:rPr>
        <w:t xml:space="preserve"> Y EL BAZAR</w:t>
      </w:r>
      <w:r w:rsidRPr="00832652">
        <w:rPr>
          <w:rFonts w:ascii="Calibri" w:hAnsi="Calibri" w:cs="Calibri"/>
          <w:b/>
          <w:sz w:val="24"/>
        </w:rPr>
        <w:t xml:space="preserve">, FINANCIADO CON RECURSOS FUTIC </w:t>
      </w:r>
      <w:r w:rsidRPr="00832652">
        <w:rPr>
          <w:rFonts w:cstheme="minorHAnsi"/>
          <w:b/>
          <w:spacing w:val="-3"/>
          <w:sz w:val="24"/>
          <w:szCs w:val="24"/>
          <w:lang w:val="es-ES_tradnl"/>
        </w:rPr>
        <w:t>VIGENCIA 2022</w:t>
      </w:r>
    </w:p>
    <w:p w:rsidR="0002388B" w:rsidRPr="0002388B" w:rsidRDefault="0002388B" w:rsidP="0002388B">
      <w:pPr>
        <w:jc w:val="center"/>
        <w:rPr>
          <w:b/>
        </w:rPr>
      </w:pPr>
      <w:r w:rsidRPr="0002388B">
        <w:rPr>
          <w:b/>
        </w:rPr>
        <w:t>PREGUNTAS Y RESPUESTAS</w:t>
      </w:r>
    </w:p>
    <w:p w:rsidR="0002388B" w:rsidRDefault="009D4011">
      <w:r>
        <w:rPr>
          <w:noProof/>
          <w:lang w:eastAsia="es-CO"/>
        </w:rPr>
        <w:drawing>
          <wp:inline distT="0" distB="0" distL="0" distR="0" wp14:anchorId="657F83DA" wp14:editId="623A64DD">
            <wp:extent cx="5612130" cy="272796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DFB" w:rsidRPr="0002388B" w:rsidRDefault="009D4011" w:rsidP="0002388B">
      <w:pPr>
        <w:rPr>
          <w:b/>
        </w:rPr>
      </w:pPr>
      <w:r>
        <w:rPr>
          <w:noProof/>
          <w:lang w:eastAsia="es-CO"/>
        </w:rPr>
        <w:drawing>
          <wp:inline distT="0" distB="0" distL="0" distR="0" wp14:anchorId="0672A3F7" wp14:editId="5B37A821">
            <wp:extent cx="5612130" cy="1897380"/>
            <wp:effectExtent l="0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88B" w:rsidRPr="0002388B">
        <w:rPr>
          <w:b/>
        </w:rPr>
        <w:t xml:space="preserve">RESPUESTAS: </w:t>
      </w:r>
    </w:p>
    <w:p w:rsidR="009D4011" w:rsidRPr="00A25F60" w:rsidRDefault="009D4011" w:rsidP="00A25F6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25F60">
        <w:rPr>
          <w:sz w:val="24"/>
          <w:szCs w:val="24"/>
        </w:rPr>
        <w:t xml:space="preserve">El proveedor cotiza </w:t>
      </w:r>
      <w:r w:rsidR="00550083" w:rsidRPr="00A25F60">
        <w:rPr>
          <w:sz w:val="24"/>
          <w:szCs w:val="24"/>
        </w:rPr>
        <w:t xml:space="preserve">los servicios </w:t>
      </w:r>
      <w:r w:rsidR="001F08F4" w:rsidRPr="00A25F60">
        <w:rPr>
          <w:sz w:val="24"/>
          <w:szCs w:val="24"/>
        </w:rPr>
        <w:t xml:space="preserve">dentro y fuera del Área Metropolitana, y como </w:t>
      </w:r>
      <w:r w:rsidR="008D2A0E" w:rsidRPr="00A25F60">
        <w:rPr>
          <w:sz w:val="24"/>
          <w:szCs w:val="24"/>
        </w:rPr>
        <w:t xml:space="preserve">cita los términos de referencia, si se llegará a solicitar un servicio Nacional e Internacional, se le solicita al contratista cotización de dicho servicio y luego el Canal entra </w:t>
      </w:r>
      <w:r w:rsidR="0040186D">
        <w:rPr>
          <w:sz w:val="24"/>
          <w:szCs w:val="24"/>
        </w:rPr>
        <w:t xml:space="preserve">a </w:t>
      </w:r>
      <w:r w:rsidR="008D2A0E" w:rsidRPr="00A25F60">
        <w:rPr>
          <w:sz w:val="24"/>
          <w:szCs w:val="24"/>
        </w:rPr>
        <w:t>analizar dicha oferta y si alcanza el presupuesto que se tiene para el contenido,</w:t>
      </w:r>
      <w:r w:rsidR="0040186D">
        <w:rPr>
          <w:sz w:val="24"/>
          <w:szCs w:val="24"/>
        </w:rPr>
        <w:t xml:space="preserve"> se podrá solicitar el servicio.  V</w:t>
      </w:r>
      <w:r w:rsidR="008D2A0E" w:rsidRPr="00A25F60">
        <w:rPr>
          <w:sz w:val="24"/>
          <w:szCs w:val="24"/>
        </w:rPr>
        <w:t>er numeral 1.1 alcance del objeto, párrafo 29. Que cita…</w:t>
      </w:r>
    </w:p>
    <w:p w:rsidR="008D2A0E" w:rsidRDefault="008D2A0E" w:rsidP="008D2A0E">
      <w:pPr>
        <w:autoSpaceDE w:val="0"/>
        <w:autoSpaceDN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Pr="00E22B33">
        <w:rPr>
          <w:rFonts w:cstheme="minorHAnsi"/>
          <w:sz w:val="24"/>
          <w:szCs w:val="24"/>
        </w:rPr>
        <w:t xml:space="preserve">En caso de requerirse, </w:t>
      </w:r>
      <w:r>
        <w:rPr>
          <w:rFonts w:cstheme="minorHAnsi"/>
          <w:sz w:val="24"/>
          <w:szCs w:val="24"/>
        </w:rPr>
        <w:t xml:space="preserve">TELEANTIOQUIA podrá solicitar al contratista, </w:t>
      </w:r>
      <w:r w:rsidRPr="00E22B33">
        <w:rPr>
          <w:rFonts w:cstheme="minorHAnsi"/>
          <w:sz w:val="24"/>
          <w:szCs w:val="24"/>
        </w:rPr>
        <w:t>suministrar elementos o prestar servicios no contemplados en el listado inicial de ítems que por razones de demanda o del servicio sean solicitados por el Canal</w:t>
      </w:r>
      <w:r>
        <w:rPr>
          <w:rFonts w:cstheme="minorHAnsi"/>
          <w:sz w:val="24"/>
          <w:szCs w:val="24"/>
        </w:rPr>
        <w:t>,</w:t>
      </w:r>
      <w:r w:rsidRPr="00E22B33">
        <w:rPr>
          <w:rFonts w:cstheme="minorHAnsi"/>
          <w:sz w:val="24"/>
          <w:szCs w:val="24"/>
        </w:rPr>
        <w:t xml:space="preserve"> siempre y cuando estos conserven relación directa con la naturaleza del objeto del presente proceso y el precio ofrecido por el contratista se ajuste a los del mercado, aspecto que será verificado permanentemente por Telean</w:t>
      </w:r>
      <w:r>
        <w:rPr>
          <w:rFonts w:cstheme="minorHAnsi"/>
          <w:sz w:val="24"/>
          <w:szCs w:val="24"/>
        </w:rPr>
        <w:t>tioquia a través del supervisor (gastos como preproducción, cotización del servicio en otras ciudades, y otros elementos que no están contemplados en los listados anteriormente nombrados).”</w:t>
      </w:r>
    </w:p>
    <w:p w:rsidR="00D80213" w:rsidRPr="00D80213" w:rsidRDefault="00D80213" w:rsidP="00D80213">
      <w:pPr>
        <w:pStyle w:val="Prrafodelista"/>
        <w:numPr>
          <w:ilvl w:val="0"/>
          <w:numId w:val="2"/>
        </w:numPr>
        <w:autoSpaceDE w:val="0"/>
        <w:autoSpaceDN w:val="0"/>
        <w:jc w:val="both"/>
        <w:rPr>
          <w:rFonts w:ascii="Calibri" w:hAnsi="Calibri" w:cs="Calibri"/>
          <w:iCs/>
          <w:color w:val="101010"/>
          <w:sz w:val="24"/>
        </w:rPr>
      </w:pPr>
      <w:r w:rsidRPr="00D80213">
        <w:rPr>
          <w:rFonts w:ascii="Calibri" w:hAnsi="Calibri" w:cs="Calibri"/>
          <w:iCs/>
          <w:color w:val="101010"/>
          <w:sz w:val="24"/>
        </w:rPr>
        <w:t xml:space="preserve">La producción que se ha venido realizado para los contenidos El Bazar y Serenata, para el programa Serenata, ha requerido de componentes técnicos de respecto al </w:t>
      </w:r>
      <w:proofErr w:type="spellStart"/>
      <w:r w:rsidRPr="00D80213">
        <w:rPr>
          <w:rFonts w:ascii="Calibri" w:hAnsi="Calibri" w:cs="Calibri"/>
          <w:iCs/>
          <w:color w:val="101010"/>
          <w:sz w:val="24"/>
        </w:rPr>
        <w:t>switcher</w:t>
      </w:r>
      <w:proofErr w:type="spellEnd"/>
      <w:r w:rsidRPr="00D80213">
        <w:rPr>
          <w:rFonts w:ascii="Calibri" w:hAnsi="Calibri" w:cs="Calibri"/>
          <w:iCs/>
          <w:color w:val="101010"/>
          <w:sz w:val="24"/>
        </w:rPr>
        <w:t xml:space="preserve"> de video (ITEM 1) que permitan inserción de gráficos con efectos para la titulación de presentadores, marcas, nombres de canciones entre otros.</w:t>
      </w:r>
    </w:p>
    <w:p w:rsidR="00D80213" w:rsidRPr="00D80213" w:rsidRDefault="00D80213" w:rsidP="00D80213">
      <w:pPr>
        <w:spacing w:after="200" w:line="253" w:lineRule="atLeast"/>
        <w:jc w:val="both"/>
        <w:rPr>
          <w:rFonts w:ascii="Calibri" w:hAnsi="Calibri" w:cs="Calibri"/>
          <w:iCs/>
          <w:color w:val="101010"/>
          <w:sz w:val="24"/>
        </w:rPr>
      </w:pPr>
      <w:r w:rsidRPr="00D80213">
        <w:rPr>
          <w:rFonts w:ascii="Calibri" w:hAnsi="Calibri" w:cs="Calibri"/>
          <w:iCs/>
          <w:color w:val="101010"/>
          <w:sz w:val="24"/>
        </w:rPr>
        <w:t>Las especificaciones presentadas por VIDEOCREARTE, pueden cumplir desde lo operativo, sin embargo, si se analiza de manera exacta los requerimientos solicitados por Teleantioquia, NO cumple.</w:t>
      </w:r>
    </w:p>
    <w:p w:rsidR="00D80213" w:rsidRDefault="00D80213" w:rsidP="00D80213">
      <w:pPr>
        <w:rPr>
          <w:b/>
          <w:bCs/>
        </w:rPr>
      </w:pPr>
      <w:r>
        <w:rPr>
          <w:b/>
          <w:bCs/>
        </w:rPr>
        <w:t>GRÁFICO DE APOYO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9"/>
        <w:gridCol w:w="4409"/>
      </w:tblGrid>
      <w:tr w:rsidR="00D80213" w:rsidTr="00D80213">
        <w:tc>
          <w:tcPr>
            <w:tcW w:w="4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213" w:rsidRDefault="00D80213">
            <w:pPr>
              <w:rPr>
                <w:rFonts w:ascii="Calibri" w:hAnsi="Calibri" w:cs="Calibri"/>
                <w:color w:val="1F497D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3985260" cy="2232660"/>
                  <wp:effectExtent l="0" t="0" r="0" b="0"/>
                  <wp:docPr id="6" name="Imagen 6" descr="cid:image009.jpg@01D81DA9.B9E37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cid:image009.jpg@01D81DA9.B9E37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5260" cy="223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213" w:rsidRDefault="00D80213">
            <w:pPr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3985260" cy="2232660"/>
                  <wp:effectExtent l="0" t="0" r="0" b="0"/>
                  <wp:docPr id="5" name="Imagen 5" descr="cid:image010.jpg@01D81DA9.B9E37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id:image010.jpg@01D81DA9.B9E37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5260" cy="223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213" w:rsidTr="00D80213"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213" w:rsidRDefault="00D80213">
            <w:r>
              <w:rPr>
                <w:noProof/>
                <w:lang w:eastAsia="es-CO"/>
              </w:rPr>
              <w:drawing>
                <wp:inline distT="0" distB="0" distL="0" distR="0">
                  <wp:extent cx="3985260" cy="2278380"/>
                  <wp:effectExtent l="0" t="0" r="0" b="7620"/>
                  <wp:docPr id="4" name="Imagen 4" descr="cid:image011.jpg@01D81DA9.B9E37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cid:image011.jpg@01D81DA9.B9E37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5260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213" w:rsidRDefault="00D80213">
            <w:r>
              <w:rPr>
                <w:noProof/>
                <w:lang w:eastAsia="es-CO"/>
              </w:rPr>
              <w:drawing>
                <wp:inline distT="0" distB="0" distL="0" distR="0">
                  <wp:extent cx="3962400" cy="2118360"/>
                  <wp:effectExtent l="0" t="0" r="0" b="0"/>
                  <wp:docPr id="3" name="Imagen 3" descr="cid:image012.jpg@01D81DA9.B9E37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cid:image012.jpg@01D81DA9.B9E37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213" w:rsidRDefault="00D80213" w:rsidP="00D80213">
      <w:pPr>
        <w:pStyle w:val="Prrafodelista"/>
        <w:autoSpaceDE w:val="0"/>
        <w:autoSpaceDN w:val="0"/>
        <w:jc w:val="both"/>
        <w:rPr>
          <w:rFonts w:cstheme="minorHAnsi"/>
          <w:sz w:val="24"/>
          <w:szCs w:val="24"/>
        </w:rPr>
      </w:pPr>
    </w:p>
    <w:p w:rsidR="00D80213" w:rsidRPr="00D80213" w:rsidRDefault="00D80213" w:rsidP="00D80213">
      <w:pPr>
        <w:pStyle w:val="Prrafodelista"/>
        <w:autoSpaceDE w:val="0"/>
        <w:autoSpaceDN w:val="0"/>
        <w:jc w:val="both"/>
        <w:rPr>
          <w:rFonts w:cstheme="minorHAnsi"/>
          <w:sz w:val="24"/>
          <w:szCs w:val="24"/>
        </w:rPr>
      </w:pPr>
    </w:p>
    <w:p w:rsidR="00041569" w:rsidRPr="00041569" w:rsidRDefault="00041569" w:rsidP="00041569">
      <w:pPr>
        <w:pStyle w:val="Prrafodelista"/>
        <w:numPr>
          <w:ilvl w:val="0"/>
          <w:numId w:val="2"/>
        </w:numPr>
        <w:rPr>
          <w:sz w:val="24"/>
        </w:rPr>
      </w:pPr>
      <w:r w:rsidRPr="00041569">
        <w:rPr>
          <w:sz w:val="24"/>
        </w:rPr>
        <w:t xml:space="preserve">Teleantioquia tiene como </w:t>
      </w:r>
      <w:proofErr w:type="spellStart"/>
      <w:r w:rsidRPr="00041569">
        <w:rPr>
          <w:sz w:val="24"/>
        </w:rPr>
        <w:t>house</w:t>
      </w:r>
      <w:proofErr w:type="spellEnd"/>
      <w:r w:rsidRPr="00041569">
        <w:rPr>
          <w:sz w:val="24"/>
        </w:rPr>
        <w:t xml:space="preserve"> </w:t>
      </w:r>
      <w:proofErr w:type="spellStart"/>
      <w:r w:rsidRPr="00041569">
        <w:rPr>
          <w:sz w:val="24"/>
        </w:rPr>
        <w:t>codec</w:t>
      </w:r>
      <w:proofErr w:type="spellEnd"/>
      <w:r w:rsidRPr="00041569">
        <w:rPr>
          <w:sz w:val="24"/>
        </w:rPr>
        <w:t xml:space="preserve"> contenedor MXF, Formato </w:t>
      </w:r>
      <w:proofErr w:type="spellStart"/>
      <w:r w:rsidRPr="00041569">
        <w:rPr>
          <w:sz w:val="24"/>
        </w:rPr>
        <w:t>XDCam</w:t>
      </w:r>
      <w:proofErr w:type="spellEnd"/>
      <w:r w:rsidRPr="00041569">
        <w:rPr>
          <w:sz w:val="24"/>
        </w:rPr>
        <w:t xml:space="preserve">-HD 50Mbps, 4:2:2., Teleantioquia en sus unidades móviles para producciones en exteriores se usa Discos </w:t>
      </w:r>
      <w:proofErr w:type="spellStart"/>
      <w:r w:rsidRPr="00041569">
        <w:rPr>
          <w:sz w:val="24"/>
        </w:rPr>
        <w:t>XDCam</w:t>
      </w:r>
      <w:proofErr w:type="spellEnd"/>
      <w:r w:rsidRPr="00041569">
        <w:rPr>
          <w:sz w:val="24"/>
        </w:rPr>
        <w:t xml:space="preserve"> en este mismo códec.</w:t>
      </w:r>
    </w:p>
    <w:p w:rsidR="00041569" w:rsidRPr="00041569" w:rsidRDefault="00041569" w:rsidP="00041569">
      <w:pPr>
        <w:rPr>
          <w:sz w:val="24"/>
        </w:rPr>
      </w:pPr>
      <w:r w:rsidRPr="00041569">
        <w:rPr>
          <w:sz w:val="24"/>
        </w:rPr>
        <w:t xml:space="preserve">La recepción en otros formatos como los propuestos por VIDEOCREARTE tanto para la entrega como recepción de </w:t>
      </w:r>
      <w:proofErr w:type="spellStart"/>
      <w:r w:rsidRPr="00041569">
        <w:rPr>
          <w:sz w:val="24"/>
        </w:rPr>
        <w:t>codec</w:t>
      </w:r>
      <w:proofErr w:type="spellEnd"/>
      <w:r w:rsidRPr="00041569">
        <w:rPr>
          <w:sz w:val="24"/>
        </w:rPr>
        <w:t xml:space="preserve"> y medios físicos diferentes, con</w:t>
      </w:r>
      <w:r>
        <w:rPr>
          <w:sz w:val="24"/>
        </w:rPr>
        <w:t xml:space="preserve"> </w:t>
      </w:r>
      <w:r w:rsidRPr="00041569">
        <w:rPr>
          <w:sz w:val="24"/>
        </w:rPr>
        <w:t>llevaría a reprocesos al interior del canal.</w:t>
      </w:r>
    </w:p>
    <w:p w:rsidR="00041569" w:rsidRDefault="00041569" w:rsidP="00041569">
      <w:pPr>
        <w:pStyle w:val="Prrafodelista"/>
        <w:autoSpaceDE w:val="0"/>
        <w:autoSpaceDN w:val="0"/>
        <w:jc w:val="both"/>
        <w:rPr>
          <w:b/>
          <w:bCs/>
        </w:rPr>
      </w:pPr>
      <w:r>
        <w:rPr>
          <w:b/>
          <w:bCs/>
        </w:rPr>
        <w:t>No cumple los ITEM 2y 3.</w:t>
      </w:r>
    </w:p>
    <w:p w:rsidR="00041569" w:rsidRDefault="00041569" w:rsidP="00041569">
      <w:pPr>
        <w:pStyle w:val="Prrafodelista"/>
        <w:autoSpaceDE w:val="0"/>
        <w:autoSpaceDN w:val="0"/>
        <w:jc w:val="both"/>
        <w:rPr>
          <w:b/>
          <w:bCs/>
        </w:rPr>
      </w:pPr>
    </w:p>
    <w:p w:rsidR="00041569" w:rsidRPr="00041569" w:rsidRDefault="00041569" w:rsidP="00041569">
      <w:pPr>
        <w:pStyle w:val="Prrafodelista"/>
        <w:numPr>
          <w:ilvl w:val="0"/>
          <w:numId w:val="2"/>
        </w:numPr>
        <w:autoSpaceDE w:val="0"/>
        <w:autoSpaceDN w:val="0"/>
        <w:jc w:val="both"/>
        <w:rPr>
          <w:bCs/>
          <w:sz w:val="24"/>
          <w:szCs w:val="24"/>
        </w:rPr>
      </w:pPr>
      <w:r w:rsidRPr="00041569">
        <w:rPr>
          <w:bCs/>
          <w:sz w:val="24"/>
          <w:szCs w:val="24"/>
        </w:rPr>
        <w:t xml:space="preserve">Formato dos se retira la cotización del ítem número 11 </w:t>
      </w:r>
      <w:r w:rsidR="00323B8A">
        <w:rPr>
          <w:bCs/>
          <w:sz w:val="24"/>
          <w:szCs w:val="24"/>
        </w:rPr>
        <w:t>“</w:t>
      </w:r>
      <w:r w:rsidRPr="00041569">
        <w:rPr>
          <w:bCs/>
          <w:sz w:val="24"/>
          <w:szCs w:val="24"/>
        </w:rPr>
        <w:t xml:space="preserve">Sistema de grúa (Jimmy </w:t>
      </w:r>
      <w:proofErr w:type="spellStart"/>
      <w:r w:rsidRPr="00041569">
        <w:rPr>
          <w:bCs/>
          <w:sz w:val="24"/>
          <w:szCs w:val="24"/>
        </w:rPr>
        <w:t>Jib</w:t>
      </w:r>
      <w:proofErr w:type="spellEnd"/>
      <w:r w:rsidRPr="00041569">
        <w:rPr>
          <w:bCs/>
          <w:sz w:val="24"/>
          <w:szCs w:val="24"/>
        </w:rPr>
        <w:t xml:space="preserve">) con control </w:t>
      </w:r>
      <w:r w:rsidR="0040186D">
        <w:rPr>
          <w:bCs/>
          <w:sz w:val="24"/>
          <w:szCs w:val="24"/>
        </w:rPr>
        <w:t xml:space="preserve">electrónico para movimiento de </w:t>
      </w:r>
      <w:proofErr w:type="spellStart"/>
      <w:r w:rsidR="0040186D">
        <w:rPr>
          <w:bCs/>
          <w:sz w:val="24"/>
          <w:szCs w:val="24"/>
        </w:rPr>
        <w:t>tilt</w:t>
      </w:r>
      <w:proofErr w:type="spellEnd"/>
      <w:r w:rsidR="0040186D">
        <w:rPr>
          <w:bCs/>
          <w:sz w:val="24"/>
          <w:szCs w:val="24"/>
        </w:rPr>
        <w:t>, p</w:t>
      </w:r>
      <w:r w:rsidRPr="00041569">
        <w:rPr>
          <w:bCs/>
          <w:sz w:val="24"/>
          <w:szCs w:val="24"/>
        </w:rPr>
        <w:t>aneo y foco, compatible con la cámara propuesta</w:t>
      </w:r>
      <w:r w:rsidR="00323B8A">
        <w:rPr>
          <w:bCs/>
          <w:sz w:val="24"/>
          <w:szCs w:val="24"/>
        </w:rPr>
        <w:t>”</w:t>
      </w:r>
    </w:p>
    <w:p w:rsidR="00041569" w:rsidRDefault="00041569" w:rsidP="00041569">
      <w:pPr>
        <w:pStyle w:val="Prrafodelista"/>
        <w:autoSpaceDE w:val="0"/>
        <w:autoSpaceDN w:val="0"/>
        <w:jc w:val="both"/>
        <w:rPr>
          <w:rFonts w:cstheme="minorHAnsi"/>
          <w:sz w:val="24"/>
          <w:szCs w:val="24"/>
        </w:rPr>
      </w:pPr>
    </w:p>
    <w:p w:rsidR="00A25F60" w:rsidRPr="00A25F60" w:rsidRDefault="00A25F60" w:rsidP="001170C2">
      <w:pPr>
        <w:pStyle w:val="Prrafodelista"/>
        <w:numPr>
          <w:ilvl w:val="0"/>
          <w:numId w:val="2"/>
        </w:numPr>
        <w:autoSpaceDE w:val="0"/>
        <w:autoSpaceDN w:val="0"/>
        <w:jc w:val="both"/>
        <w:rPr>
          <w:rFonts w:cstheme="minorHAnsi"/>
          <w:sz w:val="24"/>
          <w:szCs w:val="24"/>
        </w:rPr>
      </w:pPr>
      <w:r w:rsidRPr="00A25F60">
        <w:rPr>
          <w:rFonts w:cstheme="minorHAnsi"/>
          <w:sz w:val="24"/>
          <w:szCs w:val="24"/>
        </w:rPr>
        <w:t xml:space="preserve">La experiencia específica </w:t>
      </w:r>
      <w:r>
        <w:rPr>
          <w:rFonts w:cstheme="minorHAnsi"/>
          <w:sz w:val="24"/>
          <w:szCs w:val="24"/>
        </w:rPr>
        <w:t>debe cumplir con lo descrito en el numeral 3.3 que cita ….</w:t>
      </w:r>
      <w:r w:rsidRPr="00500E66">
        <w:t xml:space="preserve"> </w:t>
      </w:r>
      <w:r w:rsidRPr="00A25F60">
        <w:rPr>
          <w:sz w:val="24"/>
          <w:szCs w:val="24"/>
        </w:rPr>
        <w:t xml:space="preserve">diligenciado y adjuntar máximo cinco (5) certificaciones, liquidaciones o actas de finalización de </w:t>
      </w:r>
      <w:r w:rsidRPr="00A25F60">
        <w:rPr>
          <w:b/>
          <w:sz w:val="24"/>
          <w:szCs w:val="24"/>
          <w:u w:val="single"/>
        </w:rPr>
        <w:t>los últimos cinco (5) años de igual o superior valor a la disponibilidad presupuestal</w:t>
      </w:r>
      <w:r w:rsidRPr="00A25F60">
        <w:rPr>
          <w:b/>
          <w:sz w:val="24"/>
          <w:szCs w:val="24"/>
        </w:rPr>
        <w:t>,</w:t>
      </w:r>
      <w:r w:rsidRPr="00A25F60">
        <w:rPr>
          <w:sz w:val="24"/>
          <w:szCs w:val="24"/>
        </w:rPr>
        <w:t xml:space="preserve"> en los términos que se señala en este documento. Hasta dos certificaciones podrán sumar el presupuesto oficial mínimo exigido.  La información digitada en el formato 3 </w:t>
      </w:r>
      <w:r w:rsidRPr="00A25F60">
        <w:rPr>
          <w:sz w:val="24"/>
          <w:szCs w:val="24"/>
          <w:u w:val="single"/>
        </w:rPr>
        <w:t>deberá ser entregada en físico y en formato digital (excel no PDF), una vez analizados será devuelto el archivo digital.</w:t>
      </w:r>
    </w:p>
    <w:p w:rsidR="00A25F60" w:rsidRDefault="00A25F60" w:rsidP="008D2A0E">
      <w:pPr>
        <w:autoSpaceDE w:val="0"/>
        <w:autoSpaceDN w:val="0"/>
        <w:jc w:val="both"/>
        <w:rPr>
          <w:rFonts w:cstheme="minorHAnsi"/>
          <w:sz w:val="24"/>
          <w:szCs w:val="24"/>
        </w:rPr>
      </w:pPr>
    </w:p>
    <w:p w:rsidR="008D2A0E" w:rsidRDefault="008D2A0E" w:rsidP="009D4011"/>
    <w:p w:rsidR="0002388B" w:rsidRPr="0002388B" w:rsidRDefault="0002388B" w:rsidP="0002388B"/>
    <w:sectPr w:rsidR="0002388B" w:rsidRPr="0002388B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C2" w:rsidRDefault="00B70DC2" w:rsidP="0022333B">
      <w:pPr>
        <w:spacing w:after="0" w:line="240" w:lineRule="auto"/>
      </w:pPr>
      <w:r>
        <w:separator/>
      </w:r>
    </w:p>
  </w:endnote>
  <w:endnote w:type="continuationSeparator" w:id="0">
    <w:p w:rsidR="00B70DC2" w:rsidRDefault="00B70DC2" w:rsidP="0022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C2" w:rsidRDefault="00B70DC2" w:rsidP="0022333B">
      <w:pPr>
        <w:spacing w:after="0" w:line="240" w:lineRule="auto"/>
      </w:pPr>
      <w:r>
        <w:separator/>
      </w:r>
    </w:p>
  </w:footnote>
  <w:footnote w:type="continuationSeparator" w:id="0">
    <w:p w:rsidR="00B70DC2" w:rsidRDefault="00B70DC2" w:rsidP="0022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3B" w:rsidRDefault="0022333B">
    <w:pPr>
      <w:pStyle w:val="Encabezado"/>
    </w:pPr>
    <w:r w:rsidRPr="004779C1">
      <w:rPr>
        <w:rFonts w:cstheme="minorHAnsi"/>
        <w:noProof/>
        <w:lang w:eastAsia="es-CO"/>
      </w:rPr>
      <w:drawing>
        <wp:inline distT="0" distB="0" distL="0" distR="0" wp14:anchorId="00DC7F31" wp14:editId="2608225E">
          <wp:extent cx="1562100" cy="502920"/>
          <wp:effectExtent l="0" t="0" r="0" b="0"/>
          <wp:docPr id="8" name="Imagen 8" descr="cid:image001.png@01D649FF.881D7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49FF.881D7B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C18DC"/>
    <w:multiLevelType w:val="hybridMultilevel"/>
    <w:tmpl w:val="20AE1EE4"/>
    <w:lvl w:ilvl="0" w:tplc="715690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33CDA"/>
    <w:multiLevelType w:val="hybridMultilevel"/>
    <w:tmpl w:val="238E45D6"/>
    <w:lvl w:ilvl="0" w:tplc="8AE05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2A"/>
    <w:rsid w:val="0002388B"/>
    <w:rsid w:val="00041569"/>
    <w:rsid w:val="001C1F2A"/>
    <w:rsid w:val="001F08F4"/>
    <w:rsid w:val="0022333B"/>
    <w:rsid w:val="00323B8A"/>
    <w:rsid w:val="00334DFB"/>
    <w:rsid w:val="00364765"/>
    <w:rsid w:val="003B654D"/>
    <w:rsid w:val="0040186D"/>
    <w:rsid w:val="004B65FA"/>
    <w:rsid w:val="00550083"/>
    <w:rsid w:val="0074783B"/>
    <w:rsid w:val="008D2A0E"/>
    <w:rsid w:val="009D4011"/>
    <w:rsid w:val="00A25F60"/>
    <w:rsid w:val="00B70DC2"/>
    <w:rsid w:val="00D80213"/>
    <w:rsid w:val="00E726DD"/>
    <w:rsid w:val="00EB1D96"/>
    <w:rsid w:val="00F8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0B1D"/>
  <w15:chartTrackingRefBased/>
  <w15:docId w15:val="{BEC29625-1B94-4C37-8B19-33B2A68F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38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33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33B"/>
  </w:style>
  <w:style w:type="paragraph" w:styleId="Piedepgina">
    <w:name w:val="footer"/>
    <w:basedOn w:val="Normal"/>
    <w:link w:val="PiedepginaCar"/>
    <w:uiPriority w:val="99"/>
    <w:unhideWhenUsed/>
    <w:rsid w:val="002233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10.jpg@01D81DA9.B9E3760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cid:image012.jpg@01D81DA9.B9E376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cid:image009.jpg@01D81DA9.B9E376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image011.jpg@01D81DA9.B9E3760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9FF.881D7B90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Leiddy Vanesa Arias Garcia</dc:creator>
  <cp:keywords/>
  <dc:description/>
  <cp:lastModifiedBy>Pilar Gomez Mosquera</cp:lastModifiedBy>
  <cp:revision>2</cp:revision>
  <dcterms:created xsi:type="dcterms:W3CDTF">2022-02-10T13:17:00Z</dcterms:created>
  <dcterms:modified xsi:type="dcterms:W3CDTF">2022-02-10T13:17:00Z</dcterms:modified>
</cp:coreProperties>
</file>