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DF8F70" w14:textId="3B004D89" w:rsidR="003223EA" w:rsidRDefault="00CC115D" w:rsidP="00BC2BA2">
      <w:pPr>
        <w:spacing w:line="360" w:lineRule="auto"/>
        <w:jc w:val="center"/>
        <w:rPr>
          <w:rFonts w:ascii="Arial" w:eastAsia="Arial" w:hAnsi="Arial" w:cs="Arial"/>
          <w:b/>
          <w:sz w:val="20"/>
          <w:szCs w:val="20"/>
        </w:rPr>
      </w:pPr>
      <w:r w:rsidRPr="00CC115D">
        <w:rPr>
          <w:rFonts w:ascii="Arial" w:eastAsia="Arial" w:hAnsi="Arial" w:cs="Arial"/>
          <w:b/>
          <w:sz w:val="20"/>
          <w:szCs w:val="20"/>
        </w:rPr>
        <w:t>Plan Estratégico de Tecnologías de la Información y las Comunicaciones</w:t>
      </w:r>
    </w:p>
    <w:p w14:paraId="76360F67" w14:textId="6EE57699" w:rsidR="00CC115D" w:rsidRDefault="00CC115D" w:rsidP="00BC2BA2">
      <w:pPr>
        <w:spacing w:line="360" w:lineRule="auto"/>
        <w:jc w:val="center"/>
        <w:rPr>
          <w:rFonts w:ascii="Arial" w:eastAsia="Arial" w:hAnsi="Arial" w:cs="Arial"/>
          <w:b/>
          <w:sz w:val="20"/>
          <w:szCs w:val="20"/>
        </w:rPr>
      </w:pPr>
      <w:r w:rsidRPr="00CC115D">
        <w:rPr>
          <w:rFonts w:ascii="Arial" w:eastAsia="Arial" w:hAnsi="Arial" w:cs="Arial"/>
          <w:b/>
          <w:sz w:val="20"/>
          <w:szCs w:val="20"/>
        </w:rPr>
        <w:t>PETI</w:t>
      </w:r>
      <w:r w:rsidR="003223EA">
        <w:rPr>
          <w:rFonts w:ascii="Arial" w:eastAsia="Arial" w:hAnsi="Arial" w:cs="Arial"/>
          <w:b/>
          <w:sz w:val="20"/>
          <w:szCs w:val="20"/>
        </w:rPr>
        <w:t xml:space="preserve"> – 2021</w:t>
      </w:r>
    </w:p>
    <w:p w14:paraId="123DA098" w14:textId="77777777" w:rsidR="003223EA" w:rsidRDefault="003223EA" w:rsidP="00BC2BA2">
      <w:pPr>
        <w:spacing w:line="360" w:lineRule="auto"/>
        <w:jc w:val="center"/>
        <w:rPr>
          <w:rFonts w:ascii="Arial" w:eastAsia="Arial" w:hAnsi="Arial" w:cs="Arial"/>
          <w:b/>
          <w:sz w:val="20"/>
          <w:szCs w:val="20"/>
        </w:rPr>
      </w:pPr>
    </w:p>
    <w:p w14:paraId="6C33C245" w14:textId="6716A2FE" w:rsidR="00CC115D" w:rsidRPr="003223EA" w:rsidRDefault="00CC115D" w:rsidP="00BC2BA2">
      <w:pPr>
        <w:spacing w:line="360" w:lineRule="auto"/>
        <w:jc w:val="center"/>
        <w:rPr>
          <w:rFonts w:ascii="Arial" w:eastAsia="Arial" w:hAnsi="Arial" w:cs="Arial"/>
          <w:b/>
          <w:sz w:val="20"/>
          <w:szCs w:val="20"/>
        </w:rPr>
      </w:pPr>
      <w:r>
        <w:rPr>
          <w:rFonts w:ascii="Arial" w:eastAsia="Arial" w:hAnsi="Arial" w:cs="Arial"/>
          <w:b/>
          <w:sz w:val="20"/>
          <w:szCs w:val="20"/>
        </w:rPr>
        <w:t>I</w:t>
      </w:r>
      <w:r w:rsidRPr="00A857F1">
        <w:rPr>
          <w:rFonts w:ascii="Arial" w:eastAsia="Arial" w:hAnsi="Arial" w:cs="Arial"/>
          <w:b/>
          <w:sz w:val="20"/>
          <w:szCs w:val="20"/>
        </w:rPr>
        <w:t>ntroducción</w:t>
      </w:r>
    </w:p>
    <w:p w14:paraId="1F4F7F10" w14:textId="1193BFDA"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La tecnología ha transformado la televisión en el mundo, fenómenos como dispositivos multiplataforma, formatos de producción y gestión de contenidos marcan el derrotero de la televisión del futuro. Teleantioquia no puede ser ajeno a la necesidad de modernizarse, por lo tanto, debe realizar inversiones que le permitan afrontar los retos que le imponen los nuevos tiempos buscando ser más competitivo y eficiente con el compromiso en la exploración de las nuevas plataformas tecnológicas: Internet, TDT y dispositivos móviles. Solo de esta manera garantizará mayor participación, inclusión, y más oportunidad de hacer visibles los territorios y llegar a todos los públicos.</w:t>
      </w:r>
    </w:p>
    <w:p w14:paraId="378B511F" w14:textId="2D4E3228" w:rsidR="00CC115D"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En este documento se define la hoja de ruta para la modernización tecnológica en Teleantioquia, con el objetivo de atender a los habitantes del departamento de Antioquia con contenidos audiovisuales entretenidos, educativos e informativos, con los adecuados niveles de calidad y en cumplimiento del derecho constitucional a la información, alineados con la regulación y normatividad en materia de gestión transparente, derechos de autor y sistemas de información.</w:t>
      </w:r>
    </w:p>
    <w:p w14:paraId="2BE6E453" w14:textId="53D21C0B" w:rsidR="00BC2BA2" w:rsidRDefault="00BC2BA2" w:rsidP="00BC2BA2">
      <w:pPr>
        <w:spacing w:line="360" w:lineRule="auto"/>
        <w:ind w:right="260"/>
        <w:jc w:val="both"/>
        <w:rPr>
          <w:rFonts w:ascii="Arial" w:eastAsia="Arial" w:hAnsi="Arial" w:cs="Arial"/>
          <w:sz w:val="20"/>
          <w:szCs w:val="20"/>
        </w:rPr>
      </w:pPr>
    </w:p>
    <w:p w14:paraId="3E8AAE4F" w14:textId="694DDE25" w:rsidR="00BC2BA2" w:rsidRDefault="00BC2BA2" w:rsidP="00BC2BA2">
      <w:pPr>
        <w:spacing w:line="360" w:lineRule="auto"/>
        <w:ind w:right="260"/>
        <w:jc w:val="both"/>
        <w:rPr>
          <w:rFonts w:ascii="Arial" w:eastAsia="Arial" w:hAnsi="Arial" w:cs="Arial"/>
          <w:sz w:val="20"/>
          <w:szCs w:val="20"/>
        </w:rPr>
      </w:pPr>
    </w:p>
    <w:p w14:paraId="6B501C49" w14:textId="7B5A1D78" w:rsidR="00BC2BA2" w:rsidRDefault="00BC2BA2" w:rsidP="00BC2BA2">
      <w:pPr>
        <w:spacing w:line="360" w:lineRule="auto"/>
        <w:ind w:right="260"/>
        <w:jc w:val="both"/>
        <w:rPr>
          <w:rFonts w:ascii="Arial" w:eastAsia="Arial" w:hAnsi="Arial" w:cs="Arial"/>
          <w:sz w:val="20"/>
          <w:szCs w:val="20"/>
        </w:rPr>
      </w:pPr>
    </w:p>
    <w:p w14:paraId="4B2975A9" w14:textId="1093B1FC" w:rsidR="00BC2BA2" w:rsidRDefault="00BC2BA2" w:rsidP="00BC2BA2">
      <w:pPr>
        <w:spacing w:line="360" w:lineRule="auto"/>
        <w:ind w:right="260"/>
        <w:jc w:val="both"/>
        <w:rPr>
          <w:rFonts w:ascii="Arial" w:eastAsia="Arial" w:hAnsi="Arial" w:cs="Arial"/>
          <w:sz w:val="20"/>
          <w:szCs w:val="20"/>
        </w:rPr>
      </w:pPr>
    </w:p>
    <w:p w14:paraId="0D1FBF01" w14:textId="15EF5485" w:rsidR="00BC2BA2" w:rsidRDefault="00BC2BA2" w:rsidP="00BC2BA2">
      <w:pPr>
        <w:spacing w:line="360" w:lineRule="auto"/>
        <w:ind w:right="260"/>
        <w:jc w:val="both"/>
        <w:rPr>
          <w:rFonts w:ascii="Arial" w:eastAsia="Arial" w:hAnsi="Arial" w:cs="Arial"/>
          <w:sz w:val="20"/>
          <w:szCs w:val="20"/>
        </w:rPr>
      </w:pPr>
    </w:p>
    <w:p w14:paraId="198A2CEA" w14:textId="64E9C221" w:rsidR="00BC2BA2" w:rsidRDefault="00BC2BA2" w:rsidP="00BC2BA2">
      <w:pPr>
        <w:spacing w:line="360" w:lineRule="auto"/>
        <w:ind w:right="260"/>
        <w:jc w:val="both"/>
        <w:rPr>
          <w:rFonts w:ascii="Arial" w:eastAsia="Arial" w:hAnsi="Arial" w:cs="Arial"/>
          <w:sz w:val="20"/>
          <w:szCs w:val="20"/>
        </w:rPr>
      </w:pPr>
    </w:p>
    <w:p w14:paraId="76C963DF" w14:textId="270953D4" w:rsidR="00BC2BA2" w:rsidRDefault="00BC2BA2" w:rsidP="00BC2BA2">
      <w:pPr>
        <w:spacing w:line="360" w:lineRule="auto"/>
        <w:ind w:right="260"/>
        <w:jc w:val="both"/>
        <w:rPr>
          <w:rFonts w:ascii="Arial" w:eastAsia="Arial" w:hAnsi="Arial" w:cs="Arial"/>
          <w:sz w:val="20"/>
          <w:szCs w:val="20"/>
        </w:rPr>
      </w:pPr>
    </w:p>
    <w:p w14:paraId="2BE1C28F" w14:textId="0EF1B9ED" w:rsidR="00BC2BA2" w:rsidRDefault="00BC2BA2" w:rsidP="00BC2BA2">
      <w:pPr>
        <w:spacing w:line="360" w:lineRule="auto"/>
        <w:ind w:right="260"/>
        <w:jc w:val="both"/>
        <w:rPr>
          <w:rFonts w:ascii="Arial" w:eastAsia="Arial" w:hAnsi="Arial" w:cs="Arial"/>
          <w:sz w:val="20"/>
          <w:szCs w:val="20"/>
        </w:rPr>
      </w:pPr>
    </w:p>
    <w:p w14:paraId="6A7661A2" w14:textId="5A8C67F4" w:rsidR="00BC2BA2" w:rsidRDefault="00BC2BA2" w:rsidP="00BC2BA2">
      <w:pPr>
        <w:spacing w:line="360" w:lineRule="auto"/>
        <w:ind w:right="260"/>
        <w:jc w:val="both"/>
        <w:rPr>
          <w:rFonts w:ascii="Arial" w:eastAsia="Arial" w:hAnsi="Arial" w:cs="Arial"/>
          <w:sz w:val="20"/>
          <w:szCs w:val="20"/>
        </w:rPr>
      </w:pPr>
    </w:p>
    <w:p w14:paraId="577CEF41" w14:textId="6EF374DD" w:rsidR="00BC2BA2" w:rsidRDefault="00BC2BA2" w:rsidP="00BC2BA2">
      <w:pPr>
        <w:spacing w:line="360" w:lineRule="auto"/>
        <w:ind w:right="260"/>
        <w:jc w:val="both"/>
        <w:rPr>
          <w:rFonts w:ascii="Arial" w:eastAsia="Arial" w:hAnsi="Arial" w:cs="Arial"/>
          <w:sz w:val="20"/>
          <w:szCs w:val="20"/>
        </w:rPr>
      </w:pPr>
    </w:p>
    <w:p w14:paraId="0CD743D7" w14:textId="395244D4" w:rsidR="00BC2BA2" w:rsidRDefault="00BC2BA2" w:rsidP="00BC2BA2">
      <w:pPr>
        <w:spacing w:line="360" w:lineRule="auto"/>
        <w:ind w:right="260"/>
        <w:jc w:val="both"/>
        <w:rPr>
          <w:rFonts w:ascii="Arial" w:eastAsia="Arial" w:hAnsi="Arial" w:cs="Arial"/>
          <w:sz w:val="20"/>
          <w:szCs w:val="20"/>
        </w:rPr>
      </w:pPr>
    </w:p>
    <w:p w14:paraId="24275BEC" w14:textId="14FE3D96" w:rsidR="00BC2BA2" w:rsidRDefault="00BC2BA2" w:rsidP="00BC2BA2">
      <w:pPr>
        <w:spacing w:line="360" w:lineRule="auto"/>
        <w:ind w:right="260"/>
        <w:jc w:val="both"/>
        <w:rPr>
          <w:rFonts w:ascii="Arial" w:eastAsia="Arial" w:hAnsi="Arial" w:cs="Arial"/>
          <w:sz w:val="20"/>
          <w:szCs w:val="20"/>
        </w:rPr>
      </w:pPr>
    </w:p>
    <w:p w14:paraId="19A179B2" w14:textId="6A120037" w:rsidR="00CC115D" w:rsidRPr="00A857F1" w:rsidRDefault="00CC115D" w:rsidP="00BC2BA2">
      <w:pPr>
        <w:spacing w:line="360" w:lineRule="auto"/>
        <w:jc w:val="center"/>
        <w:rPr>
          <w:rFonts w:ascii="Arial" w:eastAsia="Times New Roman" w:hAnsi="Arial" w:cs="Arial"/>
          <w:sz w:val="20"/>
          <w:szCs w:val="20"/>
        </w:rPr>
      </w:pPr>
      <w:r w:rsidRPr="00A857F1">
        <w:rPr>
          <w:rFonts w:ascii="Arial" w:eastAsia="Arial" w:hAnsi="Arial" w:cs="Arial"/>
          <w:b/>
          <w:sz w:val="20"/>
          <w:szCs w:val="20"/>
        </w:rPr>
        <w:lastRenderedPageBreak/>
        <w:t>Antecedentes</w:t>
      </w:r>
    </w:p>
    <w:p w14:paraId="62C66972" w14:textId="77777777"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 xml:space="preserve">Para el 2006 se implementó la estación de transmisión satelital o </w:t>
      </w:r>
      <w:proofErr w:type="spellStart"/>
      <w:r w:rsidRPr="00A857F1">
        <w:rPr>
          <w:rFonts w:ascii="Arial" w:eastAsia="Arial" w:hAnsi="Arial" w:cs="Arial"/>
          <w:sz w:val="20"/>
          <w:szCs w:val="20"/>
        </w:rPr>
        <w:t>Telepuerto</w:t>
      </w:r>
      <w:proofErr w:type="spellEnd"/>
      <w:r w:rsidRPr="00A857F1">
        <w:rPr>
          <w:rFonts w:ascii="Arial" w:eastAsia="Arial" w:hAnsi="Arial" w:cs="Arial"/>
          <w:sz w:val="20"/>
          <w:szCs w:val="20"/>
        </w:rPr>
        <w:t xml:space="preserve"> de Teleantioquia, que permitió el acceso al satélite directamente desde la sede, teniendo un control directo de la señal hacia el satélite y mejorando considerablemente la estabilidad de la señal del Canal con mínimas </w:t>
      </w:r>
      <w:bookmarkStart w:id="0" w:name="page2"/>
      <w:bookmarkEnd w:id="0"/>
      <w:r w:rsidRPr="00A857F1">
        <w:rPr>
          <w:rFonts w:ascii="Arial" w:eastAsia="Arial" w:hAnsi="Arial" w:cs="Arial"/>
          <w:sz w:val="20"/>
          <w:szCs w:val="20"/>
        </w:rPr>
        <w:t>interrupciones.</w:t>
      </w:r>
    </w:p>
    <w:p w14:paraId="46CF1282" w14:textId="02C82B55" w:rsidR="00CC115D" w:rsidRPr="00A857F1" w:rsidRDefault="00CC115D" w:rsidP="00BC2BA2">
      <w:pPr>
        <w:spacing w:line="360" w:lineRule="auto"/>
        <w:ind w:right="260"/>
        <w:jc w:val="both"/>
        <w:rPr>
          <w:rFonts w:ascii="Arial" w:eastAsia="Times New Roman" w:hAnsi="Arial" w:cs="Arial"/>
          <w:sz w:val="20"/>
          <w:szCs w:val="20"/>
        </w:rPr>
      </w:pPr>
      <w:r w:rsidRPr="00A857F1">
        <w:rPr>
          <w:rFonts w:ascii="Arial" w:eastAsia="Times New Roman" w:hAnsi="Arial" w:cs="Arial"/>
          <w:sz w:val="20"/>
          <w:szCs w:val="20"/>
        </w:rPr>
        <w:t xml:space="preserve">Entre los años 2009 y 2010, Teleantioquia realizó pruebas de transmisión de digital terrestre en el estándar </w:t>
      </w:r>
      <w:r w:rsidRPr="00A857F1">
        <w:rPr>
          <w:rFonts w:ascii="Arial" w:eastAsia="Arial" w:hAnsi="Arial" w:cs="Arial"/>
          <w:sz w:val="20"/>
          <w:szCs w:val="20"/>
        </w:rPr>
        <w:t>DVB-T, que posteriormente fue adoptado por Colombia para la emisión de los contenidos de señal digital de Televisión.</w:t>
      </w:r>
    </w:p>
    <w:p w14:paraId="2B454A16" w14:textId="4E71A96D" w:rsidR="00CC115D" w:rsidRPr="00A857F1" w:rsidRDefault="00CC115D" w:rsidP="00BC2BA2">
      <w:pPr>
        <w:shd w:val="clear" w:color="auto" w:fill="FFFFFF" w:themeFill="background1"/>
        <w:spacing w:line="360" w:lineRule="auto"/>
        <w:ind w:right="260"/>
        <w:jc w:val="both"/>
        <w:rPr>
          <w:rFonts w:ascii="Arial" w:eastAsia="Times New Roman" w:hAnsi="Arial" w:cs="Arial"/>
          <w:sz w:val="20"/>
          <w:szCs w:val="20"/>
        </w:rPr>
      </w:pPr>
      <w:r w:rsidRPr="00A857F1">
        <w:rPr>
          <w:rFonts w:ascii="Arial" w:eastAsia="Times New Roman" w:hAnsi="Arial" w:cs="Arial"/>
          <w:sz w:val="20"/>
          <w:szCs w:val="20"/>
        </w:rPr>
        <w:t xml:space="preserve">En su momento la CNTV </w:t>
      </w:r>
      <w:r w:rsidR="003223EA" w:rsidRPr="00A857F1">
        <w:rPr>
          <w:rFonts w:ascii="Arial" w:eastAsia="Times New Roman" w:hAnsi="Arial" w:cs="Arial"/>
          <w:sz w:val="20"/>
          <w:szCs w:val="20"/>
        </w:rPr>
        <w:t>vio</w:t>
      </w:r>
      <w:r w:rsidRPr="00A857F1">
        <w:rPr>
          <w:rFonts w:ascii="Arial" w:eastAsia="Times New Roman" w:hAnsi="Arial" w:cs="Arial"/>
          <w:sz w:val="20"/>
          <w:szCs w:val="20"/>
        </w:rPr>
        <w:t xml:space="preserve"> la necesidad de unificar en una sola red, al operador público RTVC con los canales regionales, con el fin de incentivar las economías a escala, optimizando recursos y esfuerzos. </w:t>
      </w:r>
    </w:p>
    <w:p w14:paraId="2D0A029F" w14:textId="42F8693A"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Esta decisión le asigna a RTVC la responsabilidad de la implementación de la Televisión Digital Terrestre Pública en Colombia y a los operadores regionales la obligación de acompañar y vigilar el proceso, así como su modernización tecnológica necesaria, que garantice el cumplimiento de los derechos de los habitantes, acorde con lo proyectado; mejor imagen, mejor sonido, más servicios, entre otros.</w:t>
      </w:r>
    </w:p>
    <w:p w14:paraId="2477F347" w14:textId="4EE9BFA5"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 xml:space="preserve">En el 2014 y dentro del proyecto de implementación de Televisión Digital Terrestre (TDT) en Colombia, en su primera fase, se modernizó el </w:t>
      </w:r>
      <w:proofErr w:type="spellStart"/>
      <w:r w:rsidRPr="00A857F1">
        <w:rPr>
          <w:rFonts w:ascii="Arial" w:eastAsia="Arial" w:hAnsi="Arial" w:cs="Arial"/>
          <w:sz w:val="20"/>
          <w:szCs w:val="20"/>
        </w:rPr>
        <w:t>telepuerto</w:t>
      </w:r>
      <w:proofErr w:type="spellEnd"/>
      <w:r w:rsidRPr="00A857F1">
        <w:rPr>
          <w:rFonts w:ascii="Arial" w:eastAsia="Arial" w:hAnsi="Arial" w:cs="Arial"/>
          <w:sz w:val="20"/>
          <w:szCs w:val="20"/>
        </w:rPr>
        <w:t xml:space="preserve"> satelital de Teleantioquia con sistemas de señalización y transporte para codificación DVB-S2 y MPEG4, </w:t>
      </w:r>
      <w:proofErr w:type="spellStart"/>
      <w:r w:rsidRPr="00A857F1">
        <w:rPr>
          <w:rFonts w:ascii="Arial" w:eastAsia="Arial" w:hAnsi="Arial" w:cs="Arial"/>
          <w:sz w:val="20"/>
          <w:szCs w:val="20"/>
        </w:rPr>
        <w:t>Multiplexación</w:t>
      </w:r>
      <w:proofErr w:type="spellEnd"/>
      <w:r w:rsidRPr="00A857F1">
        <w:rPr>
          <w:rFonts w:ascii="Arial" w:eastAsia="Arial" w:hAnsi="Arial" w:cs="Arial"/>
          <w:sz w:val="20"/>
          <w:szCs w:val="20"/>
        </w:rPr>
        <w:t>, Modulación 8PSK y Encapsulado de la información en un flujo T2-MI, compatible con el estándar DVB-T2, lo cual permite optimizar ancho de banda.</w:t>
      </w:r>
    </w:p>
    <w:p w14:paraId="6B8E5B01" w14:textId="08824D67" w:rsidR="00CC115D" w:rsidRPr="00A857F1" w:rsidRDefault="00CC115D" w:rsidP="00BC2BA2">
      <w:pPr>
        <w:spacing w:line="360" w:lineRule="auto"/>
        <w:ind w:right="260"/>
        <w:jc w:val="both"/>
        <w:rPr>
          <w:rFonts w:ascii="Arial" w:hAnsi="Arial" w:cs="Arial"/>
          <w:sz w:val="20"/>
          <w:szCs w:val="20"/>
        </w:rPr>
      </w:pPr>
      <w:r w:rsidRPr="00A857F1">
        <w:rPr>
          <w:rFonts w:ascii="Arial" w:hAnsi="Arial" w:cs="Arial"/>
          <w:sz w:val="20"/>
          <w:szCs w:val="20"/>
        </w:rPr>
        <w:t>Un año después Teleantioquia ya tenía en funcionamiento tres estaciones digitales para la transmisión de sus contenidos en alta definición en el Valle de Aburra y los municipios de influencia de la estación Padre Amaya. Al finalizar la vigencia 2015 se contaba con una cobertura de aproximadamente el 60% de la población antioqueña, en el 30% del departamento de Antioquia.</w:t>
      </w:r>
    </w:p>
    <w:p w14:paraId="19724B4B" w14:textId="77777777" w:rsidR="00BC2BA2" w:rsidRDefault="00BC2BA2" w:rsidP="00BC2BA2">
      <w:pPr>
        <w:spacing w:after="0" w:line="360" w:lineRule="auto"/>
        <w:rPr>
          <w:rFonts w:ascii="Arial" w:eastAsia="Arial" w:hAnsi="Arial" w:cs="Arial"/>
          <w:b/>
          <w:sz w:val="20"/>
          <w:szCs w:val="20"/>
        </w:rPr>
      </w:pPr>
    </w:p>
    <w:p w14:paraId="5217F80F" w14:textId="77777777" w:rsidR="00BC2BA2" w:rsidRDefault="00BC2BA2" w:rsidP="00BC2BA2">
      <w:pPr>
        <w:spacing w:after="0" w:line="360" w:lineRule="auto"/>
        <w:rPr>
          <w:rFonts w:ascii="Arial" w:eastAsia="Arial" w:hAnsi="Arial" w:cs="Arial"/>
          <w:b/>
          <w:sz w:val="20"/>
          <w:szCs w:val="20"/>
        </w:rPr>
      </w:pPr>
    </w:p>
    <w:p w14:paraId="5D16CB56" w14:textId="5A93289B" w:rsidR="00BC2BA2" w:rsidRDefault="00BC2BA2" w:rsidP="00BC2BA2">
      <w:pPr>
        <w:spacing w:after="0" w:line="360" w:lineRule="auto"/>
        <w:rPr>
          <w:rFonts w:ascii="Arial" w:eastAsia="Arial" w:hAnsi="Arial" w:cs="Arial"/>
          <w:b/>
          <w:sz w:val="20"/>
          <w:szCs w:val="20"/>
        </w:rPr>
      </w:pPr>
    </w:p>
    <w:p w14:paraId="5A89BB64" w14:textId="70E6D98C" w:rsidR="00BC2BA2" w:rsidRDefault="00BC2BA2" w:rsidP="00BC2BA2">
      <w:pPr>
        <w:spacing w:after="0" w:line="360" w:lineRule="auto"/>
        <w:rPr>
          <w:rFonts w:ascii="Arial" w:eastAsia="Arial" w:hAnsi="Arial" w:cs="Arial"/>
          <w:b/>
          <w:sz w:val="20"/>
          <w:szCs w:val="20"/>
        </w:rPr>
      </w:pPr>
    </w:p>
    <w:p w14:paraId="6334B11D" w14:textId="777B9D0B" w:rsidR="00BC2BA2" w:rsidRDefault="00BC2BA2" w:rsidP="00BC2BA2">
      <w:pPr>
        <w:spacing w:after="0" w:line="360" w:lineRule="auto"/>
        <w:rPr>
          <w:rFonts w:ascii="Arial" w:eastAsia="Arial" w:hAnsi="Arial" w:cs="Arial"/>
          <w:b/>
          <w:sz w:val="20"/>
          <w:szCs w:val="20"/>
        </w:rPr>
      </w:pPr>
    </w:p>
    <w:p w14:paraId="5C44A455" w14:textId="50613C1A" w:rsidR="00BC2BA2" w:rsidRDefault="00BC2BA2" w:rsidP="00BC2BA2">
      <w:pPr>
        <w:spacing w:after="0" w:line="360" w:lineRule="auto"/>
        <w:rPr>
          <w:rFonts w:ascii="Arial" w:eastAsia="Arial" w:hAnsi="Arial" w:cs="Arial"/>
          <w:b/>
          <w:sz w:val="20"/>
          <w:szCs w:val="20"/>
        </w:rPr>
      </w:pPr>
    </w:p>
    <w:p w14:paraId="3D4B8883" w14:textId="77777777" w:rsidR="00BC2BA2" w:rsidRDefault="00BC2BA2" w:rsidP="00BC2BA2">
      <w:pPr>
        <w:spacing w:after="0" w:line="360" w:lineRule="auto"/>
        <w:rPr>
          <w:rFonts w:ascii="Arial" w:eastAsia="Arial" w:hAnsi="Arial" w:cs="Arial"/>
          <w:b/>
          <w:sz w:val="20"/>
          <w:szCs w:val="20"/>
        </w:rPr>
      </w:pPr>
    </w:p>
    <w:p w14:paraId="2821A1F0" w14:textId="77777777" w:rsidR="00BC2BA2" w:rsidRDefault="00BC2BA2" w:rsidP="00BC2BA2">
      <w:pPr>
        <w:spacing w:after="0" w:line="360" w:lineRule="auto"/>
        <w:rPr>
          <w:rFonts w:ascii="Arial" w:eastAsia="Arial" w:hAnsi="Arial" w:cs="Arial"/>
          <w:b/>
          <w:sz w:val="20"/>
          <w:szCs w:val="20"/>
        </w:rPr>
      </w:pPr>
    </w:p>
    <w:p w14:paraId="3E2A1B5A" w14:textId="4E838F6A" w:rsidR="00CC115D" w:rsidRPr="00A857F1" w:rsidRDefault="00CC115D" w:rsidP="00BC2BA2">
      <w:pPr>
        <w:spacing w:after="0" w:line="360" w:lineRule="auto"/>
        <w:jc w:val="center"/>
        <w:rPr>
          <w:rFonts w:ascii="Arial" w:eastAsia="Arial" w:hAnsi="Arial" w:cs="Arial"/>
          <w:b/>
          <w:sz w:val="20"/>
          <w:szCs w:val="20"/>
        </w:rPr>
      </w:pPr>
      <w:r w:rsidRPr="00A857F1">
        <w:rPr>
          <w:rFonts w:ascii="Arial" w:eastAsia="Arial" w:hAnsi="Arial" w:cs="Arial"/>
          <w:b/>
          <w:sz w:val="20"/>
          <w:szCs w:val="20"/>
        </w:rPr>
        <w:lastRenderedPageBreak/>
        <w:t>Justificación</w:t>
      </w:r>
    </w:p>
    <w:p w14:paraId="70681AF8" w14:textId="77777777" w:rsidR="00CC115D" w:rsidRPr="00A857F1" w:rsidRDefault="00CC115D" w:rsidP="00BC2BA2">
      <w:pPr>
        <w:spacing w:line="360" w:lineRule="auto"/>
        <w:rPr>
          <w:rFonts w:ascii="Arial" w:eastAsia="Times New Roman" w:hAnsi="Arial" w:cs="Arial"/>
          <w:sz w:val="20"/>
          <w:szCs w:val="20"/>
        </w:rPr>
      </w:pPr>
    </w:p>
    <w:p w14:paraId="2B8AB4DA" w14:textId="77777777" w:rsidR="00CC115D"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Teleantioquia es el vehículo de expresión cultural de los antioqueños. Como primer Canal de televisión regional en Colombia, fue y seguirá siendo referente tecnológico para los demás canales públicos regionales y nacionales, así como un importante proveedor de servicios audiovisuales dentro de la indu</w:t>
      </w:r>
      <w:r>
        <w:rPr>
          <w:rFonts w:ascii="Arial" w:eastAsia="Arial" w:hAnsi="Arial" w:cs="Arial"/>
          <w:sz w:val="20"/>
          <w:szCs w:val="20"/>
        </w:rPr>
        <w:t>stria nacional e internacional.</w:t>
      </w:r>
    </w:p>
    <w:p w14:paraId="61C4DD68" w14:textId="77985F3E"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 xml:space="preserve">El proceso de transición tecnológica en la radiodifusión de televisión del sistema analógico </w:t>
      </w:r>
      <w:proofErr w:type="spellStart"/>
      <w:r w:rsidRPr="00A857F1">
        <w:rPr>
          <w:rFonts w:ascii="Arial" w:eastAsia="Arial" w:hAnsi="Arial" w:cs="Arial"/>
          <w:sz w:val="20"/>
          <w:szCs w:val="20"/>
        </w:rPr>
        <w:t>a</w:t>
      </w:r>
      <w:proofErr w:type="spellEnd"/>
      <w:r w:rsidRPr="00A857F1">
        <w:rPr>
          <w:rFonts w:ascii="Arial" w:eastAsia="Arial" w:hAnsi="Arial" w:cs="Arial"/>
          <w:sz w:val="20"/>
          <w:szCs w:val="20"/>
        </w:rPr>
        <w:t xml:space="preserve"> digital, exige de los operadores, la actualización de toda su plataforma tecnológica; esto implica la adquisición de equipos compatibles con la nueva tecnología, la adecuación de la infraestructura existe y la modernización de la red de transporte de señales.</w:t>
      </w:r>
    </w:p>
    <w:p w14:paraId="4A9AF749" w14:textId="1C29F216"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Lo irregular de la geografía Antioqueña dificulta poder atender todos los habitantes, es por esto que es necesario mantener la señal de Teleantioquia en el satélite; posibilitando la distribución de nuestra señal recibida directamente del satélite, en cualquier lugar de Antioquia y Colombia.</w:t>
      </w:r>
    </w:p>
    <w:p w14:paraId="3D85E5D4" w14:textId="1038F6D0" w:rsidR="00CC115D" w:rsidRPr="00A857F1" w:rsidRDefault="00CC115D" w:rsidP="00BC2BA2">
      <w:pPr>
        <w:spacing w:line="360" w:lineRule="auto"/>
        <w:ind w:right="260"/>
        <w:jc w:val="both"/>
        <w:rPr>
          <w:rFonts w:ascii="Arial" w:hAnsi="Arial" w:cs="Arial"/>
          <w:sz w:val="20"/>
          <w:szCs w:val="20"/>
        </w:rPr>
      </w:pPr>
      <w:r w:rsidRPr="00A857F1">
        <w:rPr>
          <w:rFonts w:ascii="Arial" w:hAnsi="Arial" w:cs="Arial"/>
          <w:sz w:val="20"/>
          <w:szCs w:val="20"/>
        </w:rPr>
        <w:t xml:space="preserve">La televisión pública es un bien de los habitantes, por lo tanto, es obligación del estado por medio del operador nacional y los operadores regionales, garantizar el gratuito acceso a la información. Fue así como desde la concepción del proyecto TDT en Colombia se identificó la importancia de mantener operativa la red análoga hasta diciembre 31 de 2019. Fecha proyectada para realizar el apagón analógico, mediante el acuerdo CNTV 002 de 2012. Modificado por la resolución 795 del 28 de junio de 2019, para realizar dicho apagón a más tardar el 31 de diciembre de 2022. </w:t>
      </w:r>
    </w:p>
    <w:p w14:paraId="1F225E0C" w14:textId="7461323F"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Teleantioquia es responsable de la administración, operación y mantenimiento de una robusta red análoga, conformada por 105 estaciones. Para identificar las inversiones necesarias y los procedimientos apropiados en este sentido, es necesario conocer las condiciones en que se realizará el fin de la operación de cada una de las estaciones que prestan el servicio de radiodifusión con tecnología analógica.</w:t>
      </w:r>
    </w:p>
    <w:p w14:paraId="5B2A6F7E" w14:textId="35184B9F"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Desde el inicio del proyecto de implementación de la televisión digital para todos, Teleantioquia ha realizado el apropiado acompañamiento asistiendo a las jornadas de formación dentro y fuera del país. Gestiona la modernización y renovación tecnológica de su cabecera satelital y debe realizar las inversiones necesarias para el fortalecimiento de los flujos de producción, posproducción, emisión y archivo.</w:t>
      </w:r>
    </w:p>
    <w:p w14:paraId="75FF1FFD" w14:textId="7B99D881"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Aunque el operador de la red a nivel nacional es RTVC, los reportes y el contacto continuo con los televidentes sobre el estado de la señal y las inquietudes que surgen a medida que avanza el proyecto, se realizan por el operador regional y en este sentido, es de gran importancia tener de manera oportuna la información y herramientas</w:t>
      </w:r>
      <w:bookmarkStart w:id="1" w:name="page3"/>
      <w:bookmarkEnd w:id="1"/>
      <w:r w:rsidRPr="00A857F1">
        <w:rPr>
          <w:rFonts w:ascii="Arial" w:eastAsia="Arial" w:hAnsi="Arial" w:cs="Arial"/>
          <w:sz w:val="20"/>
          <w:szCs w:val="20"/>
        </w:rPr>
        <w:t xml:space="preserve"> necesarias para suministrar la información solicitada, tener total claridad en la hoja de ruta para la implementación digital terrestre en </w:t>
      </w:r>
      <w:r w:rsidRPr="00A857F1">
        <w:rPr>
          <w:rFonts w:ascii="Arial" w:eastAsia="Arial" w:hAnsi="Arial" w:cs="Arial"/>
          <w:sz w:val="20"/>
          <w:szCs w:val="20"/>
        </w:rPr>
        <w:lastRenderedPageBreak/>
        <w:t>Colombia, hacer vigilancia de su cumplimiento y realizar oportunamente las observaciones y las recomendaciones que se consideren. También se deben iniciar los procesos que permitan explotar el beneficio que nos da la TDT, principalmente con el dividendo digital, garantizar funcionamiento de los equipos en comodato y los amplificadores propios.</w:t>
      </w:r>
    </w:p>
    <w:p w14:paraId="0E53308E" w14:textId="0AB1C482" w:rsidR="00CC115D" w:rsidRPr="00A857F1" w:rsidRDefault="00CC115D" w:rsidP="00BC2BA2">
      <w:pPr>
        <w:spacing w:line="360" w:lineRule="auto"/>
        <w:ind w:right="260"/>
        <w:jc w:val="both"/>
        <w:rPr>
          <w:rFonts w:ascii="Arial" w:hAnsi="Arial" w:cs="Arial"/>
          <w:sz w:val="20"/>
          <w:szCs w:val="20"/>
        </w:rPr>
      </w:pPr>
      <w:r w:rsidRPr="00A857F1">
        <w:rPr>
          <w:rFonts w:ascii="Arial" w:hAnsi="Arial" w:cs="Arial"/>
          <w:sz w:val="20"/>
          <w:szCs w:val="20"/>
        </w:rPr>
        <w:t>Teleantioquia como Canal de televisión, también se ve influenciada por el efecto de los llamados medios convergentes. La tradicional señal de televisión en la cual un canal emitía contenidos en una sola dirección para televidentes pasivos, se reevalúa. La audiencia exige interactividad y la sintonía trasciende la pantalla tradicional. El televisor pierde a pasos agigantados su protagonismo frente a dispositivos móviles inteligentes, con el aprovechamiento del Internet y a la aparición de nuevas plataformas de contenidos audiovisuales; la convergencia de medios era un hecho inaplazable.</w:t>
      </w:r>
    </w:p>
    <w:p w14:paraId="7CC6AB47" w14:textId="1DB0F105" w:rsidR="00CC115D" w:rsidRPr="00A857F1" w:rsidRDefault="00CC115D" w:rsidP="00BC2BA2">
      <w:pPr>
        <w:spacing w:line="360" w:lineRule="auto"/>
        <w:ind w:right="22"/>
        <w:jc w:val="both"/>
        <w:rPr>
          <w:rFonts w:ascii="Arial" w:hAnsi="Arial" w:cs="Arial"/>
          <w:sz w:val="20"/>
          <w:szCs w:val="20"/>
        </w:rPr>
      </w:pPr>
      <w:r w:rsidRPr="00A857F1">
        <w:rPr>
          <w:rFonts w:ascii="Arial" w:hAnsi="Arial" w:cs="Arial"/>
          <w:sz w:val="20"/>
          <w:szCs w:val="20"/>
        </w:rPr>
        <w:t>El operador público de televisión regional para Antioquia además de pionero, ha sido líder en la definición de tendencias tecnológicas en la industria de televisión regional. Como emisor de contenidos, ha impuesto a proveedores y anunciantes, estándares que le han permitido subsistir frente a competidores con gran capacidad de recursos. La constante evolución del medio no justifica que un canal como Teleantioquia esté rezagado tecnológicamente; por el contrario, debe competir con oportunidad, confiabilidad y calidad para lograr llevar nuestros contenidos con los máximos niveles de calidad al usuario final.</w:t>
      </w:r>
    </w:p>
    <w:p w14:paraId="2B06271D" w14:textId="281B0D42" w:rsidR="00CC115D" w:rsidRPr="00A857F1" w:rsidRDefault="00CC115D" w:rsidP="00BC2BA2">
      <w:pPr>
        <w:spacing w:line="360" w:lineRule="auto"/>
        <w:jc w:val="both"/>
        <w:rPr>
          <w:rFonts w:ascii="Arial" w:eastAsia="Times New Roman" w:hAnsi="Arial" w:cs="Arial"/>
          <w:sz w:val="20"/>
          <w:szCs w:val="20"/>
        </w:rPr>
      </w:pPr>
      <w:r w:rsidRPr="00A857F1">
        <w:rPr>
          <w:rFonts w:ascii="Arial" w:eastAsia="Times New Roman" w:hAnsi="Arial" w:cs="Arial"/>
          <w:sz w:val="20"/>
          <w:szCs w:val="20"/>
        </w:rPr>
        <w:t xml:space="preserve">Para este proceso se requiere una continua evolución y fortalecimiento en los diferentes proceso y flujos de producción, posproducción y emisión en lo referente a la modernización de la infraestructura tecnológica y sistemas de información, de la mano de </w:t>
      </w:r>
      <w:r w:rsidRPr="00A857F1">
        <w:rPr>
          <w:rFonts w:ascii="Arial" w:hAnsi="Arial" w:cs="Arial"/>
          <w:sz w:val="20"/>
          <w:szCs w:val="20"/>
        </w:rPr>
        <w:t xml:space="preserve">una acertada planeación en la adquisición de los sistemas necesarios para el apropiado </w:t>
      </w:r>
      <w:r w:rsidRPr="00BC2BA2">
        <w:rPr>
          <w:rFonts w:ascii="Arial" w:hAnsi="Arial" w:cs="Arial"/>
          <w:sz w:val="20"/>
          <w:szCs w:val="20"/>
        </w:rPr>
        <w:t xml:space="preserve">fortalecimiento </w:t>
      </w:r>
      <w:r w:rsidRPr="00BC2BA2">
        <w:rPr>
          <w:rFonts w:ascii="Arial" w:hAnsi="Arial"/>
          <w:sz w:val="20"/>
          <w:szCs w:val="20"/>
        </w:rPr>
        <w:t>tecnológico, con</w:t>
      </w:r>
      <w:r w:rsidRPr="00BC2BA2">
        <w:rPr>
          <w:rFonts w:ascii="Arial" w:hAnsi="Arial" w:cs="Arial"/>
          <w:sz w:val="20"/>
          <w:szCs w:val="20"/>
        </w:rPr>
        <w:t xml:space="preserve"> el uso</w:t>
      </w:r>
      <w:r w:rsidRPr="00A857F1">
        <w:rPr>
          <w:rFonts w:ascii="Arial" w:hAnsi="Arial" w:cs="Arial"/>
          <w:sz w:val="20"/>
          <w:szCs w:val="20"/>
        </w:rPr>
        <w:t xml:space="preserve"> racional y eficiente de los recursos públicos.</w:t>
      </w:r>
    </w:p>
    <w:p w14:paraId="7DAA651F" w14:textId="4C9B6486" w:rsidR="00CC115D" w:rsidRDefault="00CC115D" w:rsidP="00BC2BA2">
      <w:pPr>
        <w:spacing w:after="0" w:line="360" w:lineRule="auto"/>
        <w:rPr>
          <w:rFonts w:ascii="Arial" w:eastAsia="Times New Roman" w:hAnsi="Arial" w:cs="Arial"/>
          <w:sz w:val="20"/>
          <w:szCs w:val="20"/>
        </w:rPr>
      </w:pPr>
    </w:p>
    <w:p w14:paraId="006C43A6" w14:textId="546BD80C" w:rsidR="00BC2BA2" w:rsidRDefault="00BC2BA2" w:rsidP="00BC2BA2">
      <w:pPr>
        <w:spacing w:after="0" w:line="360" w:lineRule="auto"/>
        <w:rPr>
          <w:rFonts w:ascii="Arial" w:eastAsia="Times New Roman" w:hAnsi="Arial" w:cs="Arial"/>
          <w:sz w:val="20"/>
          <w:szCs w:val="20"/>
        </w:rPr>
      </w:pPr>
    </w:p>
    <w:p w14:paraId="484C2CA9" w14:textId="2D5A2EB4" w:rsidR="00BC2BA2" w:rsidRDefault="00BC2BA2" w:rsidP="00BC2BA2">
      <w:pPr>
        <w:spacing w:after="0" w:line="360" w:lineRule="auto"/>
        <w:rPr>
          <w:rFonts w:ascii="Arial" w:eastAsia="Times New Roman" w:hAnsi="Arial" w:cs="Arial"/>
          <w:sz w:val="20"/>
          <w:szCs w:val="20"/>
        </w:rPr>
      </w:pPr>
    </w:p>
    <w:p w14:paraId="77BE8B06" w14:textId="63E86B00" w:rsidR="00BC2BA2" w:rsidRDefault="00BC2BA2" w:rsidP="00BC2BA2">
      <w:pPr>
        <w:spacing w:after="0" w:line="360" w:lineRule="auto"/>
        <w:rPr>
          <w:rFonts w:ascii="Arial" w:eastAsia="Times New Roman" w:hAnsi="Arial" w:cs="Arial"/>
          <w:sz w:val="20"/>
          <w:szCs w:val="20"/>
        </w:rPr>
      </w:pPr>
    </w:p>
    <w:p w14:paraId="665DC8B9" w14:textId="36EA465C" w:rsidR="00BC2BA2" w:rsidRDefault="00BC2BA2" w:rsidP="00BC2BA2">
      <w:pPr>
        <w:spacing w:after="0" w:line="360" w:lineRule="auto"/>
        <w:rPr>
          <w:rFonts w:ascii="Arial" w:eastAsia="Times New Roman" w:hAnsi="Arial" w:cs="Arial"/>
          <w:sz w:val="20"/>
          <w:szCs w:val="20"/>
        </w:rPr>
      </w:pPr>
    </w:p>
    <w:p w14:paraId="549A1981" w14:textId="36D13AC9" w:rsidR="00BC2BA2" w:rsidRDefault="00BC2BA2" w:rsidP="00BC2BA2">
      <w:pPr>
        <w:spacing w:after="0" w:line="360" w:lineRule="auto"/>
        <w:rPr>
          <w:rFonts w:ascii="Arial" w:eastAsia="Times New Roman" w:hAnsi="Arial" w:cs="Arial"/>
          <w:sz w:val="20"/>
          <w:szCs w:val="20"/>
        </w:rPr>
      </w:pPr>
    </w:p>
    <w:p w14:paraId="13C91175" w14:textId="23AF6037" w:rsidR="00BC2BA2" w:rsidRDefault="00BC2BA2" w:rsidP="00BC2BA2">
      <w:pPr>
        <w:spacing w:after="0" w:line="360" w:lineRule="auto"/>
        <w:rPr>
          <w:rFonts w:ascii="Arial" w:eastAsia="Times New Roman" w:hAnsi="Arial" w:cs="Arial"/>
          <w:sz w:val="20"/>
          <w:szCs w:val="20"/>
        </w:rPr>
      </w:pPr>
    </w:p>
    <w:p w14:paraId="1A0AE5FD" w14:textId="2F25E3BE" w:rsidR="00BC2BA2" w:rsidRDefault="00BC2BA2" w:rsidP="00BC2BA2">
      <w:pPr>
        <w:spacing w:after="0" w:line="360" w:lineRule="auto"/>
        <w:rPr>
          <w:rFonts w:ascii="Arial" w:eastAsia="Times New Roman" w:hAnsi="Arial" w:cs="Arial"/>
          <w:sz w:val="20"/>
          <w:szCs w:val="20"/>
        </w:rPr>
      </w:pPr>
    </w:p>
    <w:p w14:paraId="5B9EB8C7" w14:textId="73239271" w:rsidR="00BC2BA2" w:rsidRDefault="00BC2BA2" w:rsidP="00BC2BA2">
      <w:pPr>
        <w:spacing w:after="0" w:line="360" w:lineRule="auto"/>
        <w:rPr>
          <w:rFonts w:ascii="Arial" w:eastAsia="Times New Roman" w:hAnsi="Arial" w:cs="Arial"/>
          <w:sz w:val="20"/>
          <w:szCs w:val="20"/>
        </w:rPr>
      </w:pPr>
    </w:p>
    <w:p w14:paraId="36B5E553" w14:textId="7B2B66C2" w:rsidR="00BC2BA2" w:rsidRDefault="00BC2BA2" w:rsidP="00BC2BA2">
      <w:pPr>
        <w:spacing w:after="0" w:line="360" w:lineRule="auto"/>
        <w:rPr>
          <w:rFonts w:ascii="Arial" w:eastAsia="Times New Roman" w:hAnsi="Arial" w:cs="Arial"/>
          <w:sz w:val="20"/>
          <w:szCs w:val="20"/>
        </w:rPr>
      </w:pPr>
    </w:p>
    <w:p w14:paraId="4B1216DD" w14:textId="0513D85B" w:rsidR="00BC2BA2" w:rsidRDefault="00BC2BA2" w:rsidP="00BC2BA2">
      <w:pPr>
        <w:spacing w:after="0" w:line="360" w:lineRule="auto"/>
        <w:rPr>
          <w:rFonts w:ascii="Arial" w:eastAsia="Times New Roman" w:hAnsi="Arial" w:cs="Arial"/>
          <w:sz w:val="20"/>
          <w:szCs w:val="20"/>
        </w:rPr>
      </w:pPr>
    </w:p>
    <w:p w14:paraId="655FBD4D" w14:textId="77777777" w:rsidR="00BC2BA2" w:rsidRDefault="00BC2BA2" w:rsidP="00BC2BA2">
      <w:pPr>
        <w:spacing w:after="0" w:line="360" w:lineRule="auto"/>
        <w:rPr>
          <w:rFonts w:ascii="Arial" w:eastAsia="Times New Roman" w:hAnsi="Arial" w:cs="Arial"/>
          <w:sz w:val="20"/>
          <w:szCs w:val="20"/>
        </w:rPr>
      </w:pPr>
    </w:p>
    <w:p w14:paraId="02FA7BD1" w14:textId="77777777" w:rsidR="00BC2BA2" w:rsidRDefault="00BC2BA2" w:rsidP="00BC2BA2">
      <w:pPr>
        <w:spacing w:after="0" w:line="360" w:lineRule="auto"/>
        <w:rPr>
          <w:rFonts w:ascii="Arial" w:eastAsia="Times New Roman" w:hAnsi="Arial" w:cs="Arial"/>
          <w:sz w:val="20"/>
          <w:szCs w:val="20"/>
        </w:rPr>
      </w:pPr>
    </w:p>
    <w:p w14:paraId="678E92C1" w14:textId="24EE0D30" w:rsidR="00CC115D" w:rsidRDefault="00CC115D" w:rsidP="00BC2BA2">
      <w:pPr>
        <w:spacing w:after="0" w:line="360" w:lineRule="auto"/>
        <w:jc w:val="center"/>
        <w:rPr>
          <w:rFonts w:ascii="Arial" w:eastAsia="Arial" w:hAnsi="Arial" w:cs="Arial"/>
          <w:b/>
          <w:sz w:val="20"/>
          <w:szCs w:val="20"/>
        </w:rPr>
      </w:pPr>
      <w:r w:rsidRPr="00A857F1">
        <w:rPr>
          <w:rFonts w:ascii="Arial" w:eastAsia="Arial" w:hAnsi="Arial" w:cs="Arial"/>
          <w:b/>
          <w:sz w:val="20"/>
          <w:szCs w:val="20"/>
        </w:rPr>
        <w:lastRenderedPageBreak/>
        <w:t>Objetivo general</w:t>
      </w:r>
    </w:p>
    <w:p w14:paraId="5B7CB896" w14:textId="77777777" w:rsidR="00BC2BA2" w:rsidRPr="00A857F1" w:rsidRDefault="00BC2BA2" w:rsidP="00BC2BA2">
      <w:pPr>
        <w:spacing w:after="0" w:line="360" w:lineRule="auto"/>
        <w:rPr>
          <w:rFonts w:ascii="Arial" w:eastAsia="Times New Roman" w:hAnsi="Arial" w:cs="Arial"/>
          <w:sz w:val="20"/>
          <w:szCs w:val="20"/>
        </w:rPr>
      </w:pPr>
    </w:p>
    <w:p w14:paraId="2ED1AD39" w14:textId="15C0E5FB"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Garantizar el fortalecimiento e integración de los flujos de trabajo para la elaboración y difusión de contenidos audiovisuales dentro de la convergencia de plataformas digitales.</w:t>
      </w:r>
    </w:p>
    <w:p w14:paraId="2F41BD4A" w14:textId="30F8A95B" w:rsidR="00CC115D" w:rsidRDefault="00CC115D" w:rsidP="00BC2BA2">
      <w:pPr>
        <w:spacing w:after="0" w:line="360" w:lineRule="auto"/>
        <w:jc w:val="center"/>
        <w:rPr>
          <w:rFonts w:ascii="Arial" w:eastAsia="Arial" w:hAnsi="Arial" w:cs="Arial"/>
          <w:b/>
          <w:sz w:val="20"/>
          <w:szCs w:val="20"/>
        </w:rPr>
      </w:pPr>
      <w:r w:rsidRPr="00A857F1">
        <w:rPr>
          <w:rFonts w:ascii="Arial" w:eastAsia="Arial" w:hAnsi="Arial" w:cs="Arial"/>
          <w:b/>
          <w:sz w:val="20"/>
          <w:szCs w:val="20"/>
        </w:rPr>
        <w:t>Alcance</w:t>
      </w:r>
    </w:p>
    <w:p w14:paraId="68C38CAD" w14:textId="77777777" w:rsidR="00BC2BA2" w:rsidRDefault="00BC2BA2" w:rsidP="00BC2BA2">
      <w:pPr>
        <w:spacing w:after="0" w:line="360" w:lineRule="auto"/>
        <w:rPr>
          <w:rFonts w:ascii="Arial" w:eastAsia="Times New Roman" w:hAnsi="Arial" w:cs="Arial"/>
          <w:sz w:val="20"/>
          <w:szCs w:val="20"/>
        </w:rPr>
      </w:pPr>
    </w:p>
    <w:p w14:paraId="146246F5" w14:textId="26C0845E"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 xml:space="preserve">Teniendo que cuenta que la Televisión Digital terrestre y los dispositivos móviles que hoy se ofrecen en el mercado posibilitan el consumo de contenidos en alta definición, y esta resolución (HD), se ha convertido en una exigencia de nuestros consumidores, por tanto, es totalmente necesaria la modernización de los procesos de producción y gestión de contenidos audiovisuales, garantizando un flujo HD </w:t>
      </w:r>
      <w:proofErr w:type="spellStart"/>
      <w:r w:rsidRPr="00A857F1">
        <w:rPr>
          <w:rFonts w:ascii="Arial" w:eastAsia="Arial" w:hAnsi="Arial" w:cs="Arial"/>
          <w:i/>
          <w:sz w:val="20"/>
          <w:szCs w:val="20"/>
        </w:rPr>
        <w:t>End</w:t>
      </w:r>
      <w:proofErr w:type="spellEnd"/>
      <w:r w:rsidRPr="00A857F1">
        <w:rPr>
          <w:rFonts w:ascii="Arial" w:eastAsia="Arial" w:hAnsi="Arial" w:cs="Arial"/>
          <w:i/>
          <w:sz w:val="20"/>
          <w:szCs w:val="20"/>
        </w:rPr>
        <w:t xml:space="preserve"> To </w:t>
      </w:r>
      <w:proofErr w:type="spellStart"/>
      <w:r w:rsidRPr="00A857F1">
        <w:rPr>
          <w:rFonts w:ascii="Arial" w:eastAsia="Arial" w:hAnsi="Arial" w:cs="Arial"/>
          <w:i/>
          <w:sz w:val="20"/>
          <w:szCs w:val="20"/>
        </w:rPr>
        <w:t>End</w:t>
      </w:r>
      <w:proofErr w:type="spellEnd"/>
      <w:r w:rsidRPr="00A857F1">
        <w:rPr>
          <w:rFonts w:ascii="Arial" w:eastAsia="Arial" w:hAnsi="Arial" w:cs="Arial"/>
          <w:sz w:val="20"/>
          <w:szCs w:val="20"/>
        </w:rPr>
        <w:t xml:space="preserve">, desde la captura hasta la emisión, con el fin de tener una plataforma común para el desarrollo y creación de contenidos para todos los medios, convirtiéndose de esta manera la convergencia en una suma de servicios que al interior de la organización optimizará cada etapa del proceso productivo, reflejado en el crecimiento de las audiencias y el cumplimiento del </w:t>
      </w:r>
      <w:r w:rsidR="00CB2AD1">
        <w:rPr>
          <w:rFonts w:ascii="Arial" w:eastAsia="Arial" w:hAnsi="Arial" w:cs="Arial"/>
          <w:sz w:val="20"/>
          <w:szCs w:val="20"/>
        </w:rPr>
        <w:t>Plan E</w:t>
      </w:r>
      <w:r w:rsidRPr="00A857F1">
        <w:rPr>
          <w:rFonts w:ascii="Arial" w:eastAsia="Arial" w:hAnsi="Arial" w:cs="Arial"/>
          <w:sz w:val="20"/>
          <w:szCs w:val="20"/>
        </w:rPr>
        <w:t xml:space="preserve">stratégico de Teleantioquia </w:t>
      </w:r>
      <w:r w:rsidR="00CB2AD1">
        <w:rPr>
          <w:rFonts w:ascii="Arial" w:eastAsia="Arial" w:hAnsi="Arial" w:cs="Arial"/>
          <w:sz w:val="20"/>
          <w:szCs w:val="20"/>
        </w:rPr>
        <w:t xml:space="preserve">Emociona </w:t>
      </w:r>
      <w:r w:rsidR="00CB2AD1" w:rsidRPr="00A857F1">
        <w:rPr>
          <w:rFonts w:ascii="Arial" w:eastAsia="Arial" w:hAnsi="Arial" w:cs="Arial"/>
          <w:sz w:val="20"/>
          <w:szCs w:val="20"/>
        </w:rPr>
        <w:t>2020-2023</w:t>
      </w:r>
      <w:r w:rsidR="00CB2AD1">
        <w:rPr>
          <w:rFonts w:ascii="Arial" w:eastAsia="Arial" w:hAnsi="Arial" w:cs="Arial"/>
          <w:sz w:val="20"/>
          <w:szCs w:val="20"/>
        </w:rPr>
        <w:t>.</w:t>
      </w:r>
    </w:p>
    <w:p w14:paraId="1DF5B235" w14:textId="188A29D0" w:rsidR="00CC115D" w:rsidRPr="00CC115D" w:rsidRDefault="00CC115D" w:rsidP="00BC2BA2">
      <w:pPr>
        <w:spacing w:line="360" w:lineRule="auto"/>
        <w:ind w:right="260"/>
        <w:jc w:val="both"/>
        <w:rPr>
          <w:rFonts w:ascii="Arial" w:eastAsia="Times New Roman" w:hAnsi="Arial" w:cs="Arial"/>
          <w:sz w:val="20"/>
          <w:szCs w:val="20"/>
        </w:rPr>
      </w:pPr>
      <w:r w:rsidRPr="00A857F1">
        <w:rPr>
          <w:rFonts w:ascii="Arial" w:eastAsia="Arial" w:hAnsi="Arial" w:cs="Arial"/>
          <w:sz w:val="20"/>
          <w:szCs w:val="20"/>
        </w:rPr>
        <w:t xml:space="preserve"> </w:t>
      </w:r>
      <w:bookmarkStart w:id="2" w:name="page4"/>
      <w:bookmarkEnd w:id="2"/>
      <w:r w:rsidRPr="00A857F1">
        <w:rPr>
          <w:rFonts w:ascii="Arial" w:eastAsia="Arial" w:hAnsi="Arial" w:cs="Arial"/>
          <w:sz w:val="20"/>
          <w:szCs w:val="20"/>
        </w:rPr>
        <w:t>La ejecución del Plan estratégico de Tecnologías para Teleantioquia, permitirá la actualización y renovación de los procesos orientados a la producción y difusión de contenidos audiovisuales con equipos de última generación, destinados a la digitalización e integración de la infraestructura tecnológica del canal Regional.</w:t>
      </w:r>
    </w:p>
    <w:p w14:paraId="0C1EB60C" w14:textId="5B44695E"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Para la generación de la alta definición, se requiere de un completo flujo implementado de principio a fin, es decir que desde la captura hasta el usuario final todo el proceso sea en HD. Lo que exige cámaras, micrófonos, luminarias y herramientas especializadas de última generación que cumplan con los niveles adecuados de calidad.</w:t>
      </w:r>
    </w:p>
    <w:p w14:paraId="12EAF3B7" w14:textId="6D388FE6" w:rsidR="00CC115D" w:rsidRPr="00A857F1" w:rsidRDefault="00CC115D" w:rsidP="00BC2BA2">
      <w:pPr>
        <w:spacing w:line="360" w:lineRule="auto"/>
        <w:ind w:right="260"/>
        <w:jc w:val="both"/>
        <w:rPr>
          <w:rFonts w:ascii="Arial" w:eastAsia="Arial" w:hAnsi="Arial" w:cs="Arial"/>
          <w:sz w:val="20"/>
          <w:szCs w:val="20"/>
        </w:rPr>
      </w:pPr>
      <w:r w:rsidRPr="00A857F1">
        <w:rPr>
          <w:rFonts w:ascii="Arial" w:eastAsia="Arial" w:hAnsi="Arial" w:cs="Arial"/>
          <w:sz w:val="20"/>
          <w:szCs w:val="20"/>
        </w:rPr>
        <w:t xml:space="preserve">Lo anterior de la mano con el engranaje de sus procesos, a lineados a la estrategia, con herramienta tecnológicas, sistemas de información y una red convergente, que permitan una interacción y un trabajo mancomunado para el beneficio del fin primordial, el </w:t>
      </w:r>
      <w:r>
        <w:rPr>
          <w:rFonts w:ascii="Arial" w:eastAsia="Arial" w:hAnsi="Arial" w:cs="Arial"/>
          <w:sz w:val="20"/>
          <w:szCs w:val="20"/>
        </w:rPr>
        <w:t>cual es el t</w:t>
      </w:r>
      <w:r w:rsidRPr="00A857F1">
        <w:rPr>
          <w:rFonts w:ascii="Arial" w:eastAsia="Arial" w:hAnsi="Arial" w:cs="Arial"/>
          <w:sz w:val="20"/>
          <w:szCs w:val="20"/>
        </w:rPr>
        <w:t>elevidente</w:t>
      </w:r>
      <w:r>
        <w:rPr>
          <w:rFonts w:ascii="Arial" w:eastAsia="Arial" w:hAnsi="Arial" w:cs="Arial"/>
          <w:sz w:val="20"/>
          <w:szCs w:val="20"/>
        </w:rPr>
        <w:t>.</w:t>
      </w:r>
    </w:p>
    <w:p w14:paraId="1D8CA112" w14:textId="77777777" w:rsidR="00CC115D" w:rsidRDefault="00CC115D" w:rsidP="00BC2BA2">
      <w:pPr>
        <w:tabs>
          <w:tab w:val="left" w:pos="600"/>
        </w:tabs>
        <w:spacing w:after="0" w:line="360" w:lineRule="auto"/>
        <w:jc w:val="both"/>
        <w:rPr>
          <w:rFonts w:ascii="Arial" w:eastAsia="Times New Roman" w:hAnsi="Arial" w:cs="Arial"/>
          <w:sz w:val="20"/>
          <w:szCs w:val="20"/>
        </w:rPr>
      </w:pPr>
    </w:p>
    <w:p w14:paraId="09539A3A" w14:textId="77777777" w:rsidR="00BC2BA2" w:rsidRDefault="00BC2BA2" w:rsidP="00BC2BA2">
      <w:pPr>
        <w:tabs>
          <w:tab w:val="left" w:pos="600"/>
        </w:tabs>
        <w:spacing w:after="0" w:line="360" w:lineRule="auto"/>
        <w:jc w:val="both"/>
        <w:rPr>
          <w:rFonts w:ascii="Arial" w:eastAsia="Times New Roman" w:hAnsi="Arial" w:cs="Arial"/>
          <w:b/>
          <w:sz w:val="20"/>
          <w:szCs w:val="20"/>
        </w:rPr>
      </w:pPr>
    </w:p>
    <w:p w14:paraId="0E79FD07" w14:textId="4F15D857" w:rsidR="00BC2BA2" w:rsidRDefault="00BC2BA2" w:rsidP="00BC2BA2">
      <w:pPr>
        <w:tabs>
          <w:tab w:val="left" w:pos="600"/>
        </w:tabs>
        <w:spacing w:after="0" w:line="360" w:lineRule="auto"/>
        <w:jc w:val="both"/>
        <w:rPr>
          <w:rFonts w:ascii="Arial" w:eastAsia="Times New Roman" w:hAnsi="Arial" w:cs="Arial"/>
          <w:b/>
          <w:sz w:val="20"/>
          <w:szCs w:val="20"/>
        </w:rPr>
      </w:pPr>
    </w:p>
    <w:p w14:paraId="14196663" w14:textId="77777777" w:rsidR="00914596" w:rsidRDefault="00914596" w:rsidP="00BC2BA2">
      <w:pPr>
        <w:tabs>
          <w:tab w:val="left" w:pos="600"/>
        </w:tabs>
        <w:spacing w:after="0" w:line="360" w:lineRule="auto"/>
        <w:jc w:val="both"/>
        <w:rPr>
          <w:rFonts w:ascii="Arial" w:eastAsia="Times New Roman" w:hAnsi="Arial" w:cs="Arial"/>
          <w:b/>
          <w:sz w:val="20"/>
          <w:szCs w:val="20"/>
        </w:rPr>
      </w:pPr>
    </w:p>
    <w:p w14:paraId="2C1F7F57" w14:textId="77777777" w:rsidR="00BC2BA2" w:rsidRDefault="00BC2BA2" w:rsidP="00BC2BA2">
      <w:pPr>
        <w:tabs>
          <w:tab w:val="left" w:pos="600"/>
        </w:tabs>
        <w:spacing w:after="0" w:line="360" w:lineRule="auto"/>
        <w:jc w:val="both"/>
        <w:rPr>
          <w:rFonts w:ascii="Arial" w:eastAsia="Times New Roman" w:hAnsi="Arial" w:cs="Arial"/>
          <w:b/>
          <w:sz w:val="20"/>
          <w:szCs w:val="20"/>
        </w:rPr>
      </w:pPr>
    </w:p>
    <w:p w14:paraId="705664DC" w14:textId="77777777" w:rsidR="00BC2BA2" w:rsidRDefault="00BC2BA2" w:rsidP="00BC2BA2">
      <w:pPr>
        <w:tabs>
          <w:tab w:val="left" w:pos="600"/>
        </w:tabs>
        <w:spacing w:after="0" w:line="360" w:lineRule="auto"/>
        <w:jc w:val="both"/>
        <w:rPr>
          <w:rFonts w:ascii="Arial" w:eastAsia="Times New Roman" w:hAnsi="Arial" w:cs="Arial"/>
          <w:b/>
          <w:sz w:val="20"/>
          <w:szCs w:val="20"/>
        </w:rPr>
      </w:pPr>
    </w:p>
    <w:p w14:paraId="65C7332A" w14:textId="77777777" w:rsidR="00BC2BA2" w:rsidRDefault="00BC2BA2" w:rsidP="00BC2BA2">
      <w:pPr>
        <w:tabs>
          <w:tab w:val="left" w:pos="600"/>
        </w:tabs>
        <w:spacing w:after="0" w:line="360" w:lineRule="auto"/>
        <w:jc w:val="both"/>
        <w:rPr>
          <w:rFonts w:ascii="Arial" w:eastAsia="Times New Roman" w:hAnsi="Arial" w:cs="Arial"/>
          <w:b/>
          <w:sz w:val="20"/>
          <w:szCs w:val="20"/>
        </w:rPr>
      </w:pPr>
    </w:p>
    <w:p w14:paraId="4FA52BD9" w14:textId="77777777" w:rsidR="00BC2BA2" w:rsidRDefault="00BC2BA2" w:rsidP="00BC2BA2">
      <w:pPr>
        <w:tabs>
          <w:tab w:val="left" w:pos="600"/>
        </w:tabs>
        <w:spacing w:after="0" w:line="360" w:lineRule="auto"/>
        <w:jc w:val="both"/>
        <w:rPr>
          <w:rFonts w:ascii="Arial" w:eastAsia="Times New Roman" w:hAnsi="Arial" w:cs="Arial"/>
          <w:b/>
          <w:sz w:val="20"/>
          <w:szCs w:val="20"/>
        </w:rPr>
      </w:pPr>
    </w:p>
    <w:p w14:paraId="465F5182" w14:textId="77777777" w:rsidR="00BC2BA2" w:rsidRDefault="00BC2BA2" w:rsidP="00BC2BA2">
      <w:pPr>
        <w:tabs>
          <w:tab w:val="left" w:pos="600"/>
        </w:tabs>
        <w:spacing w:after="0" w:line="360" w:lineRule="auto"/>
        <w:jc w:val="both"/>
        <w:rPr>
          <w:rFonts w:ascii="Arial" w:eastAsia="Times New Roman" w:hAnsi="Arial" w:cs="Arial"/>
          <w:b/>
          <w:sz w:val="20"/>
          <w:szCs w:val="20"/>
        </w:rPr>
      </w:pPr>
    </w:p>
    <w:p w14:paraId="0C290E39" w14:textId="51C6C1B1" w:rsidR="00CC115D" w:rsidRDefault="00CC115D" w:rsidP="00BC2BA2">
      <w:pPr>
        <w:tabs>
          <w:tab w:val="left" w:pos="600"/>
        </w:tabs>
        <w:spacing w:after="0" w:line="360" w:lineRule="auto"/>
        <w:jc w:val="center"/>
        <w:rPr>
          <w:rFonts w:ascii="Arial" w:eastAsia="Times New Roman" w:hAnsi="Arial" w:cs="Arial"/>
          <w:b/>
          <w:sz w:val="20"/>
          <w:szCs w:val="20"/>
        </w:rPr>
      </w:pPr>
      <w:r>
        <w:rPr>
          <w:rFonts w:ascii="Arial" w:eastAsia="Times New Roman" w:hAnsi="Arial" w:cs="Arial"/>
          <w:b/>
          <w:sz w:val="20"/>
          <w:szCs w:val="20"/>
        </w:rPr>
        <w:lastRenderedPageBreak/>
        <w:t>O</w:t>
      </w:r>
      <w:r w:rsidRPr="00A857F1">
        <w:rPr>
          <w:rFonts w:ascii="Arial" w:eastAsia="Times New Roman" w:hAnsi="Arial" w:cs="Arial"/>
          <w:b/>
          <w:sz w:val="20"/>
          <w:szCs w:val="20"/>
        </w:rPr>
        <w:t>bjetivos estratégicos</w:t>
      </w:r>
    </w:p>
    <w:p w14:paraId="5101787E" w14:textId="77777777" w:rsidR="00BC2BA2" w:rsidRPr="00A857F1" w:rsidRDefault="00BC2BA2" w:rsidP="00BC2BA2">
      <w:pPr>
        <w:tabs>
          <w:tab w:val="left" w:pos="600"/>
        </w:tabs>
        <w:spacing w:after="0" w:line="360" w:lineRule="auto"/>
        <w:jc w:val="center"/>
        <w:rPr>
          <w:rFonts w:ascii="Arial" w:eastAsia="Times New Roman" w:hAnsi="Arial" w:cs="Arial"/>
          <w:b/>
          <w:sz w:val="20"/>
          <w:szCs w:val="20"/>
        </w:rPr>
      </w:pPr>
    </w:p>
    <w:p w14:paraId="66B6BF10" w14:textId="77777777" w:rsidR="00CC115D" w:rsidRPr="00A857F1" w:rsidRDefault="00CC115D" w:rsidP="00BC2BA2">
      <w:pPr>
        <w:spacing w:line="360" w:lineRule="auto"/>
        <w:jc w:val="center"/>
        <w:rPr>
          <w:rFonts w:ascii="Arial" w:eastAsia="Times New Roman" w:hAnsi="Arial" w:cs="Arial"/>
          <w:b/>
          <w:sz w:val="20"/>
          <w:szCs w:val="20"/>
        </w:rPr>
      </w:pPr>
      <w:r w:rsidRPr="00A857F1">
        <w:rPr>
          <w:rFonts w:ascii="Arial" w:eastAsia="Times New Roman" w:hAnsi="Arial" w:cs="Arial"/>
          <w:b/>
          <w:sz w:val="20"/>
          <w:szCs w:val="20"/>
        </w:rPr>
        <w:t>Línea estratégica 2: Teleantioquia Conecta</w:t>
      </w:r>
    </w:p>
    <w:p w14:paraId="0BCCB95C" w14:textId="77777777" w:rsidR="00CC115D" w:rsidRPr="00A857F1" w:rsidRDefault="00CC115D" w:rsidP="00BC2BA2">
      <w:pPr>
        <w:pStyle w:val="PETA03"/>
        <w:spacing w:line="360" w:lineRule="auto"/>
        <w:rPr>
          <w:rFonts w:ascii="Arial" w:hAnsi="Arial" w:cs="Arial"/>
          <w:sz w:val="20"/>
          <w:szCs w:val="20"/>
        </w:rPr>
      </w:pPr>
      <w:bookmarkStart w:id="3" w:name="_Toc59102190"/>
      <w:r w:rsidRPr="00A857F1">
        <w:rPr>
          <w:rFonts w:ascii="Arial" w:hAnsi="Arial" w:cs="Arial"/>
          <w:sz w:val="20"/>
          <w:szCs w:val="20"/>
        </w:rPr>
        <w:t>Objetivo Estratégico 2.1.</w:t>
      </w:r>
      <w:bookmarkEnd w:id="3"/>
    </w:p>
    <w:p w14:paraId="47EFAB27" w14:textId="77777777" w:rsidR="00CC115D" w:rsidRPr="00A857F1" w:rsidRDefault="00CC115D" w:rsidP="00BC2BA2">
      <w:pPr>
        <w:pStyle w:val="Sinespaciado"/>
        <w:spacing w:line="360" w:lineRule="auto"/>
        <w:jc w:val="both"/>
        <w:rPr>
          <w:rFonts w:ascii="Arial" w:hAnsi="Arial" w:cs="Arial"/>
          <w:sz w:val="20"/>
          <w:szCs w:val="20"/>
        </w:rPr>
      </w:pPr>
    </w:p>
    <w:p w14:paraId="5085E1DD" w14:textId="77777777" w:rsidR="00CC115D" w:rsidRPr="00A857F1" w:rsidRDefault="00CC115D" w:rsidP="00BC2BA2">
      <w:pPr>
        <w:pStyle w:val="Sinespaciado"/>
        <w:spacing w:line="360" w:lineRule="auto"/>
        <w:jc w:val="both"/>
        <w:rPr>
          <w:rFonts w:ascii="Arial" w:hAnsi="Arial" w:cs="Arial"/>
          <w:sz w:val="20"/>
          <w:szCs w:val="20"/>
        </w:rPr>
      </w:pPr>
      <w:r w:rsidRPr="00A857F1">
        <w:rPr>
          <w:rFonts w:ascii="Arial" w:hAnsi="Arial" w:cs="Arial"/>
          <w:sz w:val="20"/>
          <w:szCs w:val="20"/>
        </w:rPr>
        <w:t>Fortalecer entre 2020 y 2023 la producción, transmisión y emisión multiplataforma de Teleantioquia.</w:t>
      </w:r>
    </w:p>
    <w:p w14:paraId="3B36CE4D" w14:textId="77777777" w:rsidR="00CC115D" w:rsidRPr="00A857F1" w:rsidRDefault="00CC115D" w:rsidP="00BC2BA2">
      <w:pPr>
        <w:pStyle w:val="Sinespaciado"/>
        <w:spacing w:line="360" w:lineRule="auto"/>
        <w:jc w:val="both"/>
        <w:rPr>
          <w:rFonts w:ascii="Arial" w:hAnsi="Arial" w:cs="Arial"/>
          <w:sz w:val="20"/>
          <w:szCs w:val="20"/>
        </w:rPr>
      </w:pPr>
    </w:p>
    <w:p w14:paraId="409532D8" w14:textId="1E065AAF" w:rsidR="00CC115D" w:rsidRDefault="00CC115D" w:rsidP="00BC2BA2">
      <w:pPr>
        <w:pStyle w:val="Sinespaciado"/>
        <w:spacing w:line="360" w:lineRule="auto"/>
        <w:jc w:val="both"/>
        <w:rPr>
          <w:rFonts w:ascii="Arial" w:hAnsi="Arial" w:cs="Arial"/>
          <w:sz w:val="20"/>
          <w:szCs w:val="20"/>
        </w:rPr>
      </w:pPr>
      <w:r w:rsidRPr="00A857F1">
        <w:rPr>
          <w:rFonts w:ascii="Arial" w:hAnsi="Arial" w:cs="Arial"/>
          <w:sz w:val="20"/>
          <w:szCs w:val="20"/>
        </w:rPr>
        <w:t>En este cuatrienio, el área de Producción y Realización de Teleantioquia deberá adaptar sus procesos a la distribución de los contenidos audiovisuales por diferentes plataformas (bien sea medios o dispositivos), esto implica que dentro de la organización se implementen esquemas de trabajo que permitan la trazabilidad de los productos audiovisuales, logrando así la máxima eficiencia en el uso de los recursos disponibles.</w:t>
      </w:r>
    </w:p>
    <w:p w14:paraId="74D1AF62" w14:textId="77777777" w:rsidR="006D73B9" w:rsidRPr="00A857F1" w:rsidRDefault="006D73B9" w:rsidP="00BC2BA2">
      <w:pPr>
        <w:pStyle w:val="Sinespaciado"/>
        <w:spacing w:line="360" w:lineRule="auto"/>
        <w:jc w:val="both"/>
        <w:rPr>
          <w:rFonts w:ascii="Arial" w:hAnsi="Arial" w:cs="Arial"/>
          <w:sz w:val="20"/>
          <w:szCs w:val="20"/>
        </w:rPr>
      </w:pPr>
      <w:bookmarkStart w:id="4" w:name="_GoBack"/>
      <w:bookmarkEnd w:id="4"/>
    </w:p>
    <w:p w14:paraId="5949095A" w14:textId="407867C5" w:rsidR="00CC115D" w:rsidRPr="00A857F1" w:rsidRDefault="00CC115D" w:rsidP="00BC2BA2">
      <w:pPr>
        <w:spacing w:line="360" w:lineRule="auto"/>
        <w:jc w:val="both"/>
        <w:rPr>
          <w:rFonts w:ascii="Arial" w:eastAsia="Times New Roman" w:hAnsi="Arial" w:cs="Arial"/>
          <w:sz w:val="20"/>
          <w:szCs w:val="20"/>
        </w:rPr>
      </w:pPr>
      <w:r w:rsidRPr="00A857F1">
        <w:rPr>
          <w:rFonts w:ascii="Arial" w:eastAsia="Times New Roman" w:hAnsi="Arial" w:cs="Arial"/>
          <w:sz w:val="20"/>
          <w:szCs w:val="20"/>
        </w:rPr>
        <w:t>Teleantioquia busca estar cerca de sus audiencias, fortaleciendo su infraestructura tecnológica e implementando nuevos medios de acceso. Como medio articulado del Departamento, Teleantioquia, a través de la generación de sus contenidos audiovisuales, busca integrar y proyectar las diferentes realidades, culturas e identidades de los antioqueños, contando lo que pasa en cada uno de los rincones de Antioquia y haciendo, de los habitantes del territorio, los protagonistas de cada palabra, cada imagen, cada historia.</w:t>
      </w:r>
    </w:p>
    <w:p w14:paraId="5770CC36" w14:textId="77777777" w:rsidR="00BC2BA2" w:rsidRDefault="00BC2BA2" w:rsidP="00BC2BA2">
      <w:pPr>
        <w:spacing w:line="360" w:lineRule="auto"/>
        <w:jc w:val="both"/>
        <w:rPr>
          <w:rFonts w:ascii="Arial" w:eastAsia="Times New Roman" w:hAnsi="Arial" w:cs="Arial"/>
          <w:b/>
          <w:sz w:val="20"/>
          <w:szCs w:val="20"/>
        </w:rPr>
      </w:pPr>
    </w:p>
    <w:p w14:paraId="0C30EC46" w14:textId="1D2960BC" w:rsidR="00CC115D" w:rsidRPr="00A857F1" w:rsidRDefault="00FD0984" w:rsidP="00BC2BA2">
      <w:pPr>
        <w:spacing w:line="360" w:lineRule="auto"/>
        <w:jc w:val="both"/>
        <w:rPr>
          <w:rFonts w:ascii="Arial" w:eastAsia="Times New Roman" w:hAnsi="Arial" w:cs="Arial"/>
          <w:b/>
          <w:sz w:val="20"/>
          <w:szCs w:val="20"/>
        </w:rPr>
      </w:pPr>
      <w:r>
        <w:rPr>
          <w:rFonts w:ascii="Arial" w:eastAsia="Times New Roman" w:hAnsi="Arial" w:cs="Arial"/>
          <w:b/>
          <w:sz w:val="20"/>
          <w:szCs w:val="20"/>
        </w:rPr>
        <w:t>Estrategia 2.1.1.</w:t>
      </w:r>
    </w:p>
    <w:p w14:paraId="2653499F" w14:textId="37C2AE83" w:rsidR="00CC115D" w:rsidRPr="00FD0984" w:rsidRDefault="00CC115D" w:rsidP="00BC2BA2">
      <w:pPr>
        <w:spacing w:line="360" w:lineRule="auto"/>
        <w:jc w:val="both"/>
        <w:rPr>
          <w:rFonts w:ascii="Arial" w:eastAsia="Times New Roman" w:hAnsi="Arial" w:cs="Arial"/>
          <w:b/>
          <w:sz w:val="20"/>
          <w:szCs w:val="20"/>
          <w:u w:val="single"/>
        </w:rPr>
      </w:pPr>
      <w:r w:rsidRPr="00A857F1">
        <w:rPr>
          <w:rFonts w:ascii="Arial" w:eastAsia="Times New Roman" w:hAnsi="Arial" w:cs="Arial"/>
          <w:b/>
          <w:sz w:val="20"/>
          <w:szCs w:val="20"/>
          <w:u w:val="single"/>
        </w:rPr>
        <w:t xml:space="preserve"> “Teleantioquia realiza producciones audiovisuales </w:t>
      </w:r>
      <w:r w:rsidR="00FD0984">
        <w:rPr>
          <w:rFonts w:ascii="Arial" w:eastAsia="Times New Roman" w:hAnsi="Arial" w:cs="Arial"/>
          <w:b/>
          <w:sz w:val="20"/>
          <w:szCs w:val="20"/>
          <w:u w:val="single"/>
        </w:rPr>
        <w:t>con estándares internacionales”</w:t>
      </w:r>
    </w:p>
    <w:p w14:paraId="7265C706" w14:textId="2DA6666B" w:rsidR="00CC115D" w:rsidRPr="00A857F1" w:rsidRDefault="00CC115D" w:rsidP="00BC2BA2">
      <w:pPr>
        <w:spacing w:line="360" w:lineRule="auto"/>
        <w:jc w:val="both"/>
        <w:rPr>
          <w:rFonts w:ascii="Arial" w:eastAsia="Times New Roman" w:hAnsi="Arial" w:cs="Arial"/>
          <w:sz w:val="20"/>
          <w:szCs w:val="20"/>
        </w:rPr>
      </w:pPr>
      <w:r w:rsidRPr="00A857F1">
        <w:rPr>
          <w:rFonts w:ascii="Arial" w:eastAsia="Times New Roman" w:hAnsi="Arial" w:cs="Arial"/>
          <w:sz w:val="20"/>
          <w:szCs w:val="20"/>
        </w:rPr>
        <w:t>Adoptar estándares de producción internacionales que permitan competir en nuevos mercados con éxito y calidad, logrando así tener contenidos disponibles proy</w:t>
      </w:r>
      <w:r w:rsidR="00FD0984">
        <w:rPr>
          <w:rFonts w:ascii="Arial" w:eastAsia="Times New Roman" w:hAnsi="Arial" w:cs="Arial"/>
          <w:sz w:val="20"/>
          <w:szCs w:val="20"/>
        </w:rPr>
        <w:t xml:space="preserve">ectados a la comercialización. </w:t>
      </w:r>
    </w:p>
    <w:p w14:paraId="6ADBD3E8" w14:textId="07577C9D" w:rsidR="00CC115D" w:rsidRPr="00A857F1" w:rsidRDefault="00CC115D" w:rsidP="00BC2BA2">
      <w:pPr>
        <w:spacing w:line="360" w:lineRule="auto"/>
        <w:jc w:val="both"/>
        <w:rPr>
          <w:rFonts w:ascii="Arial" w:eastAsia="Times New Roman" w:hAnsi="Arial" w:cs="Arial"/>
          <w:sz w:val="20"/>
          <w:szCs w:val="20"/>
        </w:rPr>
      </w:pPr>
      <w:r w:rsidRPr="00A857F1">
        <w:rPr>
          <w:rFonts w:ascii="Arial" w:eastAsia="Times New Roman" w:hAnsi="Arial" w:cs="Arial"/>
          <w:sz w:val="20"/>
          <w:szCs w:val="20"/>
        </w:rPr>
        <w:t>Teleantioquia visualiza explorar una estrategia consistente de internacionalización que permita dar a conocer el canal desde otra perspectiva y la manera de iniciar este cometido es realiza</w:t>
      </w:r>
      <w:r w:rsidR="00FD0984">
        <w:rPr>
          <w:rFonts w:ascii="Arial" w:eastAsia="Times New Roman" w:hAnsi="Arial" w:cs="Arial"/>
          <w:sz w:val="20"/>
          <w:szCs w:val="20"/>
        </w:rPr>
        <w:t>ndo producciones de alto nivel.</w:t>
      </w:r>
    </w:p>
    <w:p w14:paraId="2C9E97A9" w14:textId="5B4A8C68" w:rsidR="00CC115D" w:rsidRDefault="00CC115D" w:rsidP="00BC2BA2">
      <w:pPr>
        <w:spacing w:line="360" w:lineRule="auto"/>
        <w:jc w:val="both"/>
        <w:rPr>
          <w:rFonts w:ascii="Arial" w:eastAsia="Times New Roman" w:hAnsi="Arial" w:cs="Arial"/>
          <w:sz w:val="20"/>
          <w:szCs w:val="20"/>
        </w:rPr>
      </w:pPr>
      <w:r w:rsidRPr="00A857F1">
        <w:rPr>
          <w:rFonts w:ascii="Arial" w:eastAsia="Times New Roman" w:hAnsi="Arial" w:cs="Arial"/>
          <w:sz w:val="20"/>
          <w:szCs w:val="20"/>
        </w:rPr>
        <w:t>Para ello es indispensable no solo adquirir tecnología compatible con las OTT u otros mercados internacionales, sino también estandarizar procesos de producción de acuerdo con lo que exigen los mercados internacionales.</w:t>
      </w:r>
    </w:p>
    <w:p w14:paraId="55F947A6" w14:textId="16D67712" w:rsidR="003223EA" w:rsidRDefault="003223EA" w:rsidP="00BC2BA2">
      <w:pPr>
        <w:spacing w:line="360" w:lineRule="auto"/>
        <w:jc w:val="both"/>
        <w:rPr>
          <w:rFonts w:ascii="Arial" w:eastAsia="Times New Roman" w:hAnsi="Arial" w:cs="Arial"/>
          <w:sz w:val="20"/>
          <w:szCs w:val="20"/>
        </w:rPr>
      </w:pPr>
    </w:p>
    <w:p w14:paraId="3CA29DCB" w14:textId="77777777" w:rsidR="00541378" w:rsidRDefault="00541378" w:rsidP="00BC2BA2">
      <w:pPr>
        <w:spacing w:line="360" w:lineRule="auto"/>
        <w:jc w:val="both"/>
        <w:rPr>
          <w:rFonts w:ascii="Arial" w:eastAsia="Times New Roman" w:hAnsi="Arial" w:cs="Arial"/>
          <w:sz w:val="20"/>
          <w:szCs w:val="20"/>
        </w:rPr>
      </w:pPr>
    </w:p>
    <w:p w14:paraId="1895309A" w14:textId="2E7649C8" w:rsidR="00BC2BA2" w:rsidRPr="00A857F1" w:rsidRDefault="00BC2BA2" w:rsidP="00BC2BA2">
      <w:pPr>
        <w:spacing w:line="360" w:lineRule="auto"/>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1798"/>
        <w:gridCol w:w="2084"/>
      </w:tblGrid>
      <w:tr w:rsidR="00CC115D" w:rsidRPr="00A857F1" w14:paraId="67F56ABC" w14:textId="77777777" w:rsidTr="0050194C">
        <w:trPr>
          <w:trHeight w:val="490"/>
          <w:jc w:val="center"/>
        </w:trPr>
        <w:tc>
          <w:tcPr>
            <w:tcW w:w="6996" w:type="dxa"/>
            <w:gridSpan w:val="3"/>
            <w:shd w:val="clear" w:color="auto" w:fill="92D050"/>
            <w:vAlign w:val="center"/>
          </w:tcPr>
          <w:p w14:paraId="5B2CFD11"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lastRenderedPageBreak/>
              <w:t>Indicador de Producto</w:t>
            </w:r>
          </w:p>
        </w:tc>
      </w:tr>
      <w:tr w:rsidR="00CC115D" w:rsidRPr="00A857F1" w14:paraId="095BB3A5" w14:textId="77777777" w:rsidTr="00914596">
        <w:trPr>
          <w:jc w:val="center"/>
        </w:trPr>
        <w:tc>
          <w:tcPr>
            <w:tcW w:w="3114" w:type="dxa"/>
            <w:shd w:val="clear" w:color="auto" w:fill="92D050"/>
            <w:vAlign w:val="center"/>
          </w:tcPr>
          <w:p w14:paraId="4D0CAE46"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Nombre</w:t>
            </w:r>
          </w:p>
        </w:tc>
        <w:tc>
          <w:tcPr>
            <w:tcW w:w="1798" w:type="dxa"/>
            <w:shd w:val="clear" w:color="auto" w:fill="92D050"/>
            <w:vAlign w:val="center"/>
          </w:tcPr>
          <w:p w14:paraId="7A86968E"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Línea Base</w:t>
            </w:r>
          </w:p>
        </w:tc>
        <w:tc>
          <w:tcPr>
            <w:tcW w:w="2084" w:type="dxa"/>
            <w:shd w:val="clear" w:color="auto" w:fill="92D050"/>
            <w:vAlign w:val="center"/>
          </w:tcPr>
          <w:p w14:paraId="184AD1B4"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Meta</w:t>
            </w:r>
          </w:p>
        </w:tc>
      </w:tr>
      <w:tr w:rsidR="00CC115D" w:rsidRPr="00A857F1" w14:paraId="01E6A5E1" w14:textId="77777777" w:rsidTr="00914596">
        <w:trPr>
          <w:jc w:val="center"/>
        </w:trPr>
        <w:tc>
          <w:tcPr>
            <w:tcW w:w="3114" w:type="dxa"/>
            <w:vAlign w:val="center"/>
          </w:tcPr>
          <w:p w14:paraId="1E077ED6" w14:textId="77777777" w:rsidR="00CC115D" w:rsidRPr="00A857F1" w:rsidRDefault="00CC115D" w:rsidP="00BC2BA2">
            <w:pPr>
              <w:pStyle w:val="Sinespaciado"/>
              <w:spacing w:line="360" w:lineRule="auto"/>
              <w:rPr>
                <w:rFonts w:ascii="Arial" w:hAnsi="Arial" w:cs="Arial"/>
                <w:sz w:val="20"/>
                <w:szCs w:val="20"/>
                <w:lang w:val="es-ES"/>
              </w:rPr>
            </w:pPr>
            <w:r w:rsidRPr="00A857F1">
              <w:rPr>
                <w:rFonts w:ascii="Arial" w:hAnsi="Arial" w:cs="Arial"/>
                <w:sz w:val="20"/>
                <w:szCs w:val="20"/>
                <w:lang w:val="es-ES"/>
              </w:rPr>
              <w:t>2.1.1.B. Índice de flujos en 4K</w:t>
            </w:r>
          </w:p>
        </w:tc>
        <w:tc>
          <w:tcPr>
            <w:tcW w:w="1798" w:type="dxa"/>
            <w:vAlign w:val="center"/>
          </w:tcPr>
          <w:p w14:paraId="20998C92" w14:textId="77777777" w:rsidR="00CC115D" w:rsidRPr="00A857F1" w:rsidRDefault="00CC115D" w:rsidP="00BC2BA2">
            <w:pPr>
              <w:pStyle w:val="Sinespaciado"/>
              <w:spacing w:line="360" w:lineRule="auto"/>
              <w:jc w:val="center"/>
              <w:rPr>
                <w:rFonts w:ascii="Arial" w:hAnsi="Arial" w:cs="Arial"/>
                <w:sz w:val="20"/>
                <w:szCs w:val="20"/>
                <w:lang w:val="es-ES"/>
              </w:rPr>
            </w:pPr>
            <w:r w:rsidRPr="00A857F1">
              <w:rPr>
                <w:rFonts w:ascii="Arial" w:hAnsi="Arial" w:cs="Arial"/>
                <w:sz w:val="20"/>
                <w:szCs w:val="20"/>
                <w:lang w:val="es-ES"/>
              </w:rPr>
              <w:t>SLB</w:t>
            </w:r>
          </w:p>
        </w:tc>
        <w:tc>
          <w:tcPr>
            <w:tcW w:w="2084" w:type="dxa"/>
            <w:vAlign w:val="center"/>
          </w:tcPr>
          <w:p w14:paraId="3DB272B0" w14:textId="77777777" w:rsidR="00CC115D" w:rsidRPr="00A857F1" w:rsidRDefault="00CC115D" w:rsidP="00BC2BA2">
            <w:pPr>
              <w:pStyle w:val="Sinespaciado"/>
              <w:spacing w:line="360" w:lineRule="auto"/>
              <w:jc w:val="center"/>
              <w:rPr>
                <w:rFonts w:ascii="Arial" w:hAnsi="Arial" w:cs="Arial"/>
                <w:sz w:val="20"/>
                <w:szCs w:val="20"/>
                <w:lang w:val="es-ES"/>
              </w:rPr>
            </w:pPr>
            <w:r w:rsidRPr="00A857F1">
              <w:rPr>
                <w:rFonts w:ascii="Arial" w:hAnsi="Arial" w:cs="Arial"/>
                <w:sz w:val="20"/>
                <w:szCs w:val="20"/>
                <w:lang w:val="es-ES"/>
              </w:rPr>
              <w:t>40.00%</w:t>
            </w:r>
          </w:p>
        </w:tc>
      </w:tr>
    </w:tbl>
    <w:p w14:paraId="08765759" w14:textId="53D2B2A4" w:rsidR="00CC115D" w:rsidRDefault="00CC115D" w:rsidP="00BC2BA2">
      <w:pPr>
        <w:pStyle w:val="PETA04"/>
        <w:spacing w:line="360" w:lineRule="auto"/>
        <w:rPr>
          <w:rFonts w:ascii="Arial" w:hAnsi="Arial" w:cs="Arial"/>
          <w:sz w:val="20"/>
          <w:szCs w:val="20"/>
        </w:rPr>
      </w:pPr>
      <w:bookmarkStart w:id="5" w:name="_Toc59102192"/>
    </w:p>
    <w:tbl>
      <w:tblPr>
        <w:tblW w:w="5000" w:type="pct"/>
        <w:tblCellMar>
          <w:left w:w="70" w:type="dxa"/>
          <w:right w:w="70" w:type="dxa"/>
        </w:tblCellMar>
        <w:tblLook w:val="04A0" w:firstRow="1" w:lastRow="0" w:firstColumn="1" w:lastColumn="0" w:noHBand="0" w:noVBand="1"/>
      </w:tblPr>
      <w:tblGrid>
        <w:gridCol w:w="1059"/>
        <w:gridCol w:w="1257"/>
        <w:gridCol w:w="1104"/>
        <w:gridCol w:w="847"/>
        <w:gridCol w:w="877"/>
        <w:gridCol w:w="839"/>
        <w:gridCol w:w="945"/>
        <w:gridCol w:w="945"/>
        <w:gridCol w:w="945"/>
      </w:tblGrid>
      <w:tr w:rsidR="00914596" w:rsidRPr="00914596" w14:paraId="252C0D11" w14:textId="77777777" w:rsidTr="00914596">
        <w:trPr>
          <w:trHeight w:val="735"/>
        </w:trPr>
        <w:tc>
          <w:tcPr>
            <w:tcW w:w="600"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31212AD9"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Código</w:t>
            </w:r>
          </w:p>
        </w:tc>
        <w:tc>
          <w:tcPr>
            <w:tcW w:w="712" w:type="pct"/>
            <w:tcBorders>
              <w:top w:val="single" w:sz="8" w:space="0" w:color="auto"/>
              <w:left w:val="nil"/>
              <w:bottom w:val="single" w:sz="8" w:space="0" w:color="auto"/>
              <w:right w:val="single" w:sz="8" w:space="0" w:color="auto"/>
            </w:tcBorders>
            <w:shd w:val="clear" w:color="000000" w:fill="92D050"/>
            <w:vAlign w:val="center"/>
            <w:hideMark/>
          </w:tcPr>
          <w:p w14:paraId="6075A384"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Nombre</w:t>
            </w:r>
          </w:p>
        </w:tc>
        <w:tc>
          <w:tcPr>
            <w:tcW w:w="626" w:type="pct"/>
            <w:tcBorders>
              <w:top w:val="single" w:sz="8" w:space="0" w:color="auto"/>
              <w:left w:val="nil"/>
              <w:bottom w:val="single" w:sz="8" w:space="0" w:color="auto"/>
              <w:right w:val="single" w:sz="8" w:space="0" w:color="auto"/>
            </w:tcBorders>
            <w:shd w:val="clear" w:color="000000" w:fill="92D050"/>
            <w:vAlign w:val="center"/>
            <w:hideMark/>
          </w:tcPr>
          <w:p w14:paraId="1C0EF33F"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Tipo</w:t>
            </w:r>
          </w:p>
        </w:tc>
        <w:tc>
          <w:tcPr>
            <w:tcW w:w="480" w:type="pct"/>
            <w:tcBorders>
              <w:top w:val="single" w:sz="8" w:space="0" w:color="auto"/>
              <w:left w:val="nil"/>
              <w:bottom w:val="single" w:sz="8" w:space="0" w:color="auto"/>
              <w:right w:val="single" w:sz="8" w:space="0" w:color="auto"/>
            </w:tcBorders>
            <w:shd w:val="clear" w:color="000000" w:fill="92D050"/>
            <w:vAlign w:val="center"/>
            <w:hideMark/>
          </w:tcPr>
          <w:p w14:paraId="049667C5"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Línea Base</w:t>
            </w:r>
          </w:p>
        </w:tc>
        <w:tc>
          <w:tcPr>
            <w:tcW w:w="497" w:type="pct"/>
            <w:tcBorders>
              <w:top w:val="single" w:sz="8" w:space="0" w:color="auto"/>
              <w:left w:val="nil"/>
              <w:bottom w:val="single" w:sz="8" w:space="0" w:color="auto"/>
              <w:right w:val="single" w:sz="8" w:space="0" w:color="auto"/>
            </w:tcBorders>
            <w:shd w:val="clear" w:color="000000" w:fill="92D050"/>
            <w:vAlign w:val="center"/>
            <w:hideMark/>
          </w:tcPr>
          <w:p w14:paraId="1917A6AB"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w:t>
            </w:r>
          </w:p>
        </w:tc>
        <w:tc>
          <w:tcPr>
            <w:tcW w:w="476" w:type="pct"/>
            <w:tcBorders>
              <w:top w:val="single" w:sz="8" w:space="0" w:color="auto"/>
              <w:left w:val="nil"/>
              <w:bottom w:val="single" w:sz="8" w:space="0" w:color="auto"/>
              <w:right w:val="single" w:sz="8" w:space="0" w:color="auto"/>
            </w:tcBorders>
            <w:shd w:val="clear" w:color="000000" w:fill="92D050"/>
            <w:vAlign w:val="center"/>
            <w:hideMark/>
          </w:tcPr>
          <w:p w14:paraId="3B61A724"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2020</w:t>
            </w:r>
          </w:p>
        </w:tc>
        <w:tc>
          <w:tcPr>
            <w:tcW w:w="536" w:type="pct"/>
            <w:tcBorders>
              <w:top w:val="single" w:sz="8" w:space="0" w:color="auto"/>
              <w:left w:val="nil"/>
              <w:bottom w:val="single" w:sz="8" w:space="0" w:color="auto"/>
              <w:right w:val="single" w:sz="8" w:space="0" w:color="auto"/>
            </w:tcBorders>
            <w:shd w:val="clear" w:color="000000" w:fill="92D050"/>
            <w:vAlign w:val="center"/>
            <w:hideMark/>
          </w:tcPr>
          <w:p w14:paraId="2C55F2AF"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2021</w:t>
            </w:r>
          </w:p>
        </w:tc>
        <w:tc>
          <w:tcPr>
            <w:tcW w:w="536" w:type="pct"/>
            <w:tcBorders>
              <w:top w:val="single" w:sz="8" w:space="0" w:color="auto"/>
              <w:left w:val="nil"/>
              <w:bottom w:val="single" w:sz="8" w:space="0" w:color="auto"/>
              <w:right w:val="single" w:sz="8" w:space="0" w:color="auto"/>
            </w:tcBorders>
            <w:shd w:val="clear" w:color="000000" w:fill="92D050"/>
            <w:vAlign w:val="center"/>
            <w:hideMark/>
          </w:tcPr>
          <w:p w14:paraId="784BFEE9"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2022</w:t>
            </w:r>
          </w:p>
        </w:tc>
        <w:tc>
          <w:tcPr>
            <w:tcW w:w="536" w:type="pct"/>
            <w:tcBorders>
              <w:top w:val="single" w:sz="8" w:space="0" w:color="auto"/>
              <w:left w:val="nil"/>
              <w:bottom w:val="single" w:sz="8" w:space="0" w:color="auto"/>
              <w:right w:val="single" w:sz="8" w:space="0" w:color="auto"/>
            </w:tcBorders>
            <w:shd w:val="clear" w:color="000000" w:fill="92D050"/>
            <w:vAlign w:val="center"/>
            <w:hideMark/>
          </w:tcPr>
          <w:p w14:paraId="167F1A99"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2023</w:t>
            </w:r>
          </w:p>
        </w:tc>
      </w:tr>
      <w:tr w:rsidR="00914596" w:rsidRPr="00914596" w14:paraId="4AA9C331" w14:textId="77777777" w:rsidTr="00914596">
        <w:trPr>
          <w:trHeight w:val="360"/>
        </w:trPr>
        <w:tc>
          <w:tcPr>
            <w:tcW w:w="600" w:type="pct"/>
            <w:tcBorders>
              <w:top w:val="nil"/>
              <w:left w:val="single" w:sz="4" w:space="0" w:color="auto"/>
              <w:bottom w:val="single" w:sz="4" w:space="0" w:color="auto"/>
              <w:right w:val="single" w:sz="4" w:space="0" w:color="auto"/>
            </w:tcBorders>
            <w:shd w:val="clear" w:color="auto" w:fill="auto"/>
            <w:vAlign w:val="center"/>
            <w:hideMark/>
          </w:tcPr>
          <w:p w14:paraId="25FE0278" w14:textId="77777777" w:rsidR="00914596" w:rsidRPr="00914596" w:rsidRDefault="00914596" w:rsidP="00914596">
            <w:pPr>
              <w:spacing w:after="0" w:line="240" w:lineRule="auto"/>
              <w:jc w:val="right"/>
              <w:rPr>
                <w:rFonts w:ascii="Arial" w:eastAsia="Times New Roman" w:hAnsi="Arial" w:cs="Arial"/>
                <w:b/>
                <w:bCs/>
                <w:sz w:val="20"/>
                <w:szCs w:val="20"/>
                <w:lang w:eastAsia="es-CO"/>
              </w:rPr>
            </w:pPr>
            <w:r w:rsidRPr="00914596">
              <w:rPr>
                <w:rFonts w:ascii="Arial" w:eastAsia="Times New Roman" w:hAnsi="Arial" w:cs="Arial"/>
                <w:b/>
                <w:bCs/>
                <w:sz w:val="20"/>
                <w:szCs w:val="20"/>
                <w:lang w:eastAsia="es-CO"/>
              </w:rPr>
              <w:t>2.1.1.B.</w:t>
            </w:r>
          </w:p>
        </w:tc>
        <w:tc>
          <w:tcPr>
            <w:tcW w:w="712" w:type="pct"/>
            <w:tcBorders>
              <w:top w:val="nil"/>
              <w:left w:val="nil"/>
              <w:bottom w:val="single" w:sz="4" w:space="0" w:color="auto"/>
              <w:right w:val="single" w:sz="4" w:space="0" w:color="auto"/>
            </w:tcBorders>
            <w:shd w:val="clear" w:color="auto" w:fill="auto"/>
            <w:vAlign w:val="center"/>
            <w:hideMark/>
          </w:tcPr>
          <w:p w14:paraId="1CB17F67"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Índice de flujos en 4K</w:t>
            </w:r>
          </w:p>
        </w:tc>
        <w:tc>
          <w:tcPr>
            <w:tcW w:w="626" w:type="pct"/>
            <w:tcBorders>
              <w:top w:val="nil"/>
              <w:left w:val="nil"/>
              <w:bottom w:val="single" w:sz="4" w:space="0" w:color="auto"/>
              <w:right w:val="single" w:sz="4" w:space="0" w:color="auto"/>
            </w:tcBorders>
            <w:shd w:val="clear" w:color="auto" w:fill="auto"/>
            <w:vAlign w:val="center"/>
            <w:hideMark/>
          </w:tcPr>
          <w:p w14:paraId="607142AC"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Producto</w:t>
            </w:r>
          </w:p>
        </w:tc>
        <w:tc>
          <w:tcPr>
            <w:tcW w:w="480" w:type="pct"/>
            <w:tcBorders>
              <w:top w:val="nil"/>
              <w:left w:val="nil"/>
              <w:bottom w:val="single" w:sz="4" w:space="0" w:color="auto"/>
              <w:right w:val="single" w:sz="4" w:space="0" w:color="auto"/>
            </w:tcBorders>
            <w:shd w:val="clear" w:color="auto" w:fill="auto"/>
            <w:vAlign w:val="center"/>
            <w:hideMark/>
          </w:tcPr>
          <w:p w14:paraId="7417996C"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SLB</w:t>
            </w:r>
          </w:p>
        </w:tc>
        <w:tc>
          <w:tcPr>
            <w:tcW w:w="497" w:type="pct"/>
            <w:tcBorders>
              <w:top w:val="nil"/>
              <w:left w:val="nil"/>
              <w:bottom w:val="single" w:sz="4" w:space="0" w:color="auto"/>
              <w:right w:val="single" w:sz="4" w:space="0" w:color="auto"/>
            </w:tcBorders>
            <w:shd w:val="clear" w:color="auto" w:fill="auto"/>
            <w:vAlign w:val="center"/>
            <w:hideMark/>
          </w:tcPr>
          <w:p w14:paraId="4865B560"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40,00%</w:t>
            </w:r>
          </w:p>
        </w:tc>
        <w:tc>
          <w:tcPr>
            <w:tcW w:w="476" w:type="pct"/>
            <w:tcBorders>
              <w:top w:val="nil"/>
              <w:left w:val="nil"/>
              <w:bottom w:val="single" w:sz="4" w:space="0" w:color="auto"/>
              <w:right w:val="single" w:sz="4" w:space="0" w:color="auto"/>
            </w:tcBorders>
            <w:shd w:val="clear" w:color="auto" w:fill="auto"/>
            <w:vAlign w:val="center"/>
            <w:hideMark/>
          </w:tcPr>
          <w:p w14:paraId="00EC0882"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5,00%</w:t>
            </w:r>
          </w:p>
        </w:tc>
        <w:tc>
          <w:tcPr>
            <w:tcW w:w="536" w:type="pct"/>
            <w:tcBorders>
              <w:top w:val="nil"/>
              <w:left w:val="nil"/>
              <w:bottom w:val="single" w:sz="4" w:space="0" w:color="auto"/>
              <w:right w:val="single" w:sz="4" w:space="0" w:color="auto"/>
            </w:tcBorders>
            <w:shd w:val="clear" w:color="auto" w:fill="auto"/>
            <w:vAlign w:val="center"/>
            <w:hideMark/>
          </w:tcPr>
          <w:p w14:paraId="7A0F1487"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15,00%</w:t>
            </w:r>
          </w:p>
        </w:tc>
        <w:tc>
          <w:tcPr>
            <w:tcW w:w="536" w:type="pct"/>
            <w:tcBorders>
              <w:top w:val="nil"/>
              <w:left w:val="nil"/>
              <w:bottom w:val="single" w:sz="4" w:space="0" w:color="auto"/>
              <w:right w:val="single" w:sz="4" w:space="0" w:color="auto"/>
            </w:tcBorders>
            <w:shd w:val="clear" w:color="auto" w:fill="auto"/>
            <w:noWrap/>
            <w:vAlign w:val="center"/>
            <w:hideMark/>
          </w:tcPr>
          <w:p w14:paraId="2F936CD1"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25,00%</w:t>
            </w:r>
          </w:p>
        </w:tc>
        <w:tc>
          <w:tcPr>
            <w:tcW w:w="536" w:type="pct"/>
            <w:tcBorders>
              <w:top w:val="nil"/>
              <w:left w:val="nil"/>
              <w:bottom w:val="single" w:sz="4" w:space="0" w:color="auto"/>
              <w:right w:val="single" w:sz="4" w:space="0" w:color="auto"/>
            </w:tcBorders>
            <w:shd w:val="clear" w:color="auto" w:fill="auto"/>
            <w:noWrap/>
            <w:vAlign w:val="center"/>
            <w:hideMark/>
          </w:tcPr>
          <w:p w14:paraId="45C250FD"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40,00%</w:t>
            </w:r>
          </w:p>
        </w:tc>
      </w:tr>
    </w:tbl>
    <w:p w14:paraId="551C15C5" w14:textId="77777777" w:rsidR="00914596" w:rsidRPr="00A857F1" w:rsidRDefault="00914596" w:rsidP="00BC2BA2">
      <w:pPr>
        <w:pStyle w:val="PETA04"/>
        <w:spacing w:line="360" w:lineRule="auto"/>
        <w:rPr>
          <w:rFonts w:ascii="Arial" w:hAnsi="Arial" w:cs="Arial"/>
          <w:sz w:val="20"/>
          <w:szCs w:val="20"/>
        </w:rPr>
      </w:pPr>
    </w:p>
    <w:p w14:paraId="3F01A410" w14:textId="44665D3D" w:rsidR="00CC115D" w:rsidRPr="00A857F1" w:rsidRDefault="00CC115D" w:rsidP="00BC2BA2">
      <w:pPr>
        <w:pStyle w:val="PETA04"/>
        <w:spacing w:line="360" w:lineRule="auto"/>
        <w:rPr>
          <w:rFonts w:ascii="Arial" w:hAnsi="Arial" w:cs="Arial"/>
          <w:sz w:val="20"/>
          <w:szCs w:val="20"/>
        </w:rPr>
      </w:pPr>
      <w:r w:rsidRPr="00A857F1">
        <w:rPr>
          <w:rFonts w:ascii="Arial" w:hAnsi="Arial" w:cs="Arial"/>
          <w:sz w:val="20"/>
          <w:szCs w:val="20"/>
        </w:rPr>
        <w:t>Estrategia 2.1.2.</w:t>
      </w:r>
      <w:bookmarkEnd w:id="5"/>
    </w:p>
    <w:p w14:paraId="3CFFC329" w14:textId="77777777" w:rsidR="00CC115D" w:rsidRPr="00A857F1" w:rsidRDefault="00CC115D" w:rsidP="00BC2BA2">
      <w:pPr>
        <w:pStyle w:val="Sinespaciado"/>
        <w:keepNext/>
        <w:spacing w:line="360" w:lineRule="auto"/>
        <w:jc w:val="both"/>
        <w:rPr>
          <w:rFonts w:ascii="Arial" w:hAnsi="Arial" w:cs="Arial"/>
          <w:sz w:val="20"/>
          <w:szCs w:val="20"/>
        </w:rPr>
      </w:pPr>
    </w:p>
    <w:p w14:paraId="744024DC" w14:textId="4A7A9127" w:rsidR="00CC115D" w:rsidRPr="00FD0984" w:rsidRDefault="00CC115D" w:rsidP="00BC2BA2">
      <w:pPr>
        <w:spacing w:line="360" w:lineRule="auto"/>
        <w:rPr>
          <w:rFonts w:ascii="Arial" w:hAnsi="Arial" w:cs="Arial"/>
          <w:b/>
          <w:sz w:val="20"/>
          <w:szCs w:val="20"/>
          <w:u w:val="single"/>
        </w:rPr>
      </w:pPr>
      <w:r w:rsidRPr="00A857F1">
        <w:rPr>
          <w:rFonts w:ascii="Arial" w:hAnsi="Arial" w:cs="Arial"/>
          <w:b/>
          <w:sz w:val="20"/>
          <w:szCs w:val="20"/>
          <w:u w:val="single"/>
        </w:rPr>
        <w:t xml:space="preserve"> “Teleantioquia se conecta con las audiencias antioqueñas”</w:t>
      </w:r>
    </w:p>
    <w:p w14:paraId="5BD2F784" w14:textId="77777777" w:rsidR="00CC115D" w:rsidRPr="00A857F1" w:rsidRDefault="00CC115D" w:rsidP="00BC2BA2">
      <w:pPr>
        <w:pStyle w:val="Sinespaciado"/>
        <w:spacing w:line="360" w:lineRule="auto"/>
        <w:jc w:val="both"/>
        <w:rPr>
          <w:rFonts w:ascii="Arial" w:hAnsi="Arial" w:cs="Arial"/>
          <w:sz w:val="20"/>
          <w:szCs w:val="20"/>
        </w:rPr>
      </w:pPr>
      <w:r w:rsidRPr="00A857F1">
        <w:rPr>
          <w:rFonts w:ascii="Arial" w:hAnsi="Arial" w:cs="Arial"/>
          <w:sz w:val="20"/>
          <w:szCs w:val="20"/>
        </w:rPr>
        <w:t xml:space="preserve">Teleantioquia cuenta actualmente con red análoga con cobertura poblacional del 96% y se encuentra en la adopción de las medidas técnicas y tecnológicas necesarias para la migración total a la Televisión Digital Terrestre -TDT- al 2022, por lo tanto; para el cuatrienio 2020-2023 el canal regional liderará las acciones necesarias para cumplir de forma satisfactoria con la cobertura y acceso a la televisión pública en las actuales y/o mejores condiciones. </w:t>
      </w:r>
    </w:p>
    <w:p w14:paraId="762B5076" w14:textId="5C28316F" w:rsidR="00CC115D" w:rsidRPr="00A857F1" w:rsidRDefault="00CC115D" w:rsidP="00BC2BA2">
      <w:pPr>
        <w:pStyle w:val="Sinespaciado"/>
        <w:spacing w:line="360" w:lineRule="auto"/>
        <w:jc w:val="both"/>
        <w:rPr>
          <w:rFonts w:ascii="Arial" w:hAnsi="Arial" w:cs="Arial"/>
          <w:sz w:val="20"/>
          <w:szCs w:val="20"/>
          <w:lang w:val="es-ES"/>
        </w:rPr>
      </w:pPr>
      <w:r w:rsidRPr="00A857F1">
        <w:rPr>
          <w:rFonts w:ascii="Arial" w:hAnsi="Arial" w:cs="Arial"/>
          <w:sz w:val="20"/>
          <w:szCs w:val="20"/>
          <w:lang w:val="es-ES"/>
        </w:rPr>
        <w:t xml:space="preserve">El mercado audiovisual está cambiando, de ahí que poner al servicio de múltiples audiencias los contenidos realizados por Teleantioquia se hace indispensable.  Para ello se requiere crear las aplicaciones para IOS y Androide de Teleantioquia Play y crear una aplicación para Smart TV, la cual permitirá a las audiencias consumir los contenidos del canal en cualquier lugar y a cualquier hora. </w:t>
      </w:r>
    </w:p>
    <w:p w14:paraId="76BABA6C" w14:textId="77777777" w:rsidR="00CC115D" w:rsidRPr="00A857F1" w:rsidRDefault="00CC115D" w:rsidP="00BC2BA2">
      <w:pPr>
        <w:spacing w:line="360" w:lineRule="auto"/>
        <w:jc w:val="both"/>
        <w:rPr>
          <w:rFonts w:ascii="Arial" w:eastAsia="Times New Roman" w:hAnsi="Arial"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8"/>
        <w:gridCol w:w="2084"/>
        <w:gridCol w:w="2084"/>
      </w:tblGrid>
      <w:tr w:rsidR="00CC115D" w:rsidRPr="00A857F1" w14:paraId="20E816BC" w14:textId="77777777" w:rsidTr="0050194C">
        <w:trPr>
          <w:trHeight w:val="490"/>
          <w:jc w:val="center"/>
        </w:trPr>
        <w:tc>
          <w:tcPr>
            <w:tcW w:w="6996" w:type="dxa"/>
            <w:gridSpan w:val="3"/>
            <w:shd w:val="clear" w:color="auto" w:fill="92D050"/>
            <w:vAlign w:val="center"/>
          </w:tcPr>
          <w:p w14:paraId="748EAF4D"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Indicador de Producto</w:t>
            </w:r>
          </w:p>
        </w:tc>
      </w:tr>
      <w:tr w:rsidR="00CC115D" w:rsidRPr="00A857F1" w14:paraId="1EF548E9" w14:textId="77777777" w:rsidTr="0050194C">
        <w:trPr>
          <w:jc w:val="center"/>
        </w:trPr>
        <w:tc>
          <w:tcPr>
            <w:tcW w:w="2828" w:type="dxa"/>
            <w:shd w:val="clear" w:color="auto" w:fill="92D050"/>
            <w:vAlign w:val="center"/>
          </w:tcPr>
          <w:p w14:paraId="02BCE438"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Nombre</w:t>
            </w:r>
          </w:p>
        </w:tc>
        <w:tc>
          <w:tcPr>
            <w:tcW w:w="2084" w:type="dxa"/>
            <w:shd w:val="clear" w:color="auto" w:fill="92D050"/>
            <w:vAlign w:val="center"/>
          </w:tcPr>
          <w:p w14:paraId="238BFB7B"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Línea Base</w:t>
            </w:r>
          </w:p>
        </w:tc>
        <w:tc>
          <w:tcPr>
            <w:tcW w:w="2084" w:type="dxa"/>
            <w:shd w:val="clear" w:color="auto" w:fill="92D050"/>
            <w:vAlign w:val="center"/>
          </w:tcPr>
          <w:p w14:paraId="4C3B6DEF" w14:textId="77777777" w:rsidR="00CC115D" w:rsidRPr="00A857F1" w:rsidRDefault="00CC115D" w:rsidP="00BC2BA2">
            <w:pPr>
              <w:pStyle w:val="Sinespaciado"/>
              <w:spacing w:line="360" w:lineRule="auto"/>
              <w:jc w:val="center"/>
              <w:rPr>
                <w:rFonts w:ascii="Arial" w:hAnsi="Arial" w:cs="Arial"/>
                <w:b/>
                <w:color w:val="FFFFFF"/>
                <w:sz w:val="20"/>
                <w:szCs w:val="20"/>
                <w:lang w:val="es-ES"/>
              </w:rPr>
            </w:pPr>
            <w:r w:rsidRPr="00A857F1">
              <w:rPr>
                <w:rFonts w:ascii="Arial" w:hAnsi="Arial" w:cs="Arial"/>
                <w:b/>
                <w:color w:val="FFFFFF"/>
                <w:sz w:val="20"/>
                <w:szCs w:val="20"/>
                <w:lang w:val="es-ES"/>
              </w:rPr>
              <w:t>Meta</w:t>
            </w:r>
          </w:p>
        </w:tc>
      </w:tr>
      <w:tr w:rsidR="00CC115D" w:rsidRPr="00A857F1" w14:paraId="1F04D652" w14:textId="77777777" w:rsidTr="0050194C">
        <w:trPr>
          <w:jc w:val="center"/>
        </w:trPr>
        <w:tc>
          <w:tcPr>
            <w:tcW w:w="2828" w:type="dxa"/>
            <w:vAlign w:val="center"/>
          </w:tcPr>
          <w:p w14:paraId="42FAD961" w14:textId="77777777" w:rsidR="00CC115D" w:rsidRPr="00A857F1" w:rsidRDefault="00CC115D" w:rsidP="00BC2BA2">
            <w:pPr>
              <w:pStyle w:val="Sinespaciado"/>
              <w:spacing w:line="360" w:lineRule="auto"/>
              <w:rPr>
                <w:rFonts w:ascii="Arial" w:hAnsi="Arial" w:cs="Arial"/>
                <w:sz w:val="20"/>
                <w:szCs w:val="20"/>
                <w:lang w:val="es-ES"/>
              </w:rPr>
            </w:pPr>
            <w:r w:rsidRPr="00A857F1">
              <w:rPr>
                <w:rFonts w:ascii="Arial" w:hAnsi="Arial" w:cs="Arial"/>
                <w:sz w:val="20"/>
                <w:szCs w:val="20"/>
                <w:lang w:val="es-ES"/>
              </w:rPr>
              <w:t>2.1.2.A. Cobertura Red Análoga</w:t>
            </w:r>
          </w:p>
        </w:tc>
        <w:tc>
          <w:tcPr>
            <w:tcW w:w="2084" w:type="dxa"/>
            <w:vAlign w:val="center"/>
          </w:tcPr>
          <w:p w14:paraId="2C7223B3" w14:textId="77777777" w:rsidR="00CC115D" w:rsidRPr="00A857F1" w:rsidRDefault="00CC115D" w:rsidP="00BC2BA2">
            <w:pPr>
              <w:pStyle w:val="Sinespaciado"/>
              <w:spacing w:line="360" w:lineRule="auto"/>
              <w:jc w:val="center"/>
              <w:rPr>
                <w:rFonts w:ascii="Arial" w:hAnsi="Arial" w:cs="Arial"/>
                <w:sz w:val="20"/>
                <w:szCs w:val="20"/>
                <w:lang w:val="es-ES"/>
              </w:rPr>
            </w:pPr>
            <w:r w:rsidRPr="00A857F1">
              <w:rPr>
                <w:rFonts w:ascii="Arial" w:hAnsi="Arial" w:cs="Arial"/>
                <w:sz w:val="20"/>
                <w:szCs w:val="20"/>
                <w:lang w:val="es-ES"/>
              </w:rPr>
              <w:t>65.00%</w:t>
            </w:r>
          </w:p>
        </w:tc>
        <w:tc>
          <w:tcPr>
            <w:tcW w:w="2084" w:type="dxa"/>
            <w:vAlign w:val="center"/>
          </w:tcPr>
          <w:p w14:paraId="31D04C1E" w14:textId="77777777" w:rsidR="00CC115D" w:rsidRPr="00A857F1" w:rsidRDefault="00CC115D" w:rsidP="00BC2BA2">
            <w:pPr>
              <w:pStyle w:val="Sinespaciado"/>
              <w:spacing w:line="360" w:lineRule="auto"/>
              <w:jc w:val="center"/>
              <w:rPr>
                <w:rFonts w:ascii="Arial" w:hAnsi="Arial" w:cs="Arial"/>
                <w:sz w:val="20"/>
                <w:szCs w:val="20"/>
                <w:lang w:val="es-ES"/>
              </w:rPr>
            </w:pPr>
            <w:r w:rsidRPr="00A857F1">
              <w:rPr>
                <w:rFonts w:ascii="Arial" w:hAnsi="Arial" w:cs="Arial"/>
                <w:sz w:val="20"/>
                <w:szCs w:val="20"/>
                <w:lang w:val="es-ES"/>
              </w:rPr>
              <w:t>70.00%</w:t>
            </w:r>
          </w:p>
        </w:tc>
      </w:tr>
      <w:tr w:rsidR="00CC115D" w:rsidRPr="00A857F1" w14:paraId="1CE29830" w14:textId="77777777" w:rsidTr="0050194C">
        <w:trPr>
          <w:jc w:val="center"/>
        </w:trPr>
        <w:tc>
          <w:tcPr>
            <w:tcW w:w="2828" w:type="dxa"/>
            <w:vAlign w:val="center"/>
          </w:tcPr>
          <w:p w14:paraId="179EBCD7" w14:textId="77777777" w:rsidR="00CC115D" w:rsidRPr="00A857F1" w:rsidRDefault="00CC115D" w:rsidP="00BC2BA2">
            <w:pPr>
              <w:pStyle w:val="Sinespaciado"/>
              <w:spacing w:line="360" w:lineRule="auto"/>
              <w:rPr>
                <w:rFonts w:ascii="Arial" w:hAnsi="Arial" w:cs="Arial"/>
                <w:sz w:val="20"/>
                <w:szCs w:val="20"/>
                <w:lang w:val="es-ES"/>
              </w:rPr>
            </w:pPr>
            <w:r w:rsidRPr="00A857F1">
              <w:rPr>
                <w:rFonts w:ascii="Arial" w:hAnsi="Arial" w:cs="Arial"/>
                <w:sz w:val="20"/>
                <w:szCs w:val="20"/>
                <w:lang w:val="es-ES"/>
              </w:rPr>
              <w:t>2.1.2.B. Cobertura Red Digital</w:t>
            </w:r>
          </w:p>
        </w:tc>
        <w:tc>
          <w:tcPr>
            <w:tcW w:w="2084" w:type="dxa"/>
            <w:vAlign w:val="center"/>
          </w:tcPr>
          <w:p w14:paraId="3FBF4EA9" w14:textId="77777777" w:rsidR="00CC115D" w:rsidRPr="00A857F1" w:rsidRDefault="00CC115D" w:rsidP="00BC2BA2">
            <w:pPr>
              <w:pStyle w:val="Sinespaciado"/>
              <w:spacing w:line="360" w:lineRule="auto"/>
              <w:jc w:val="center"/>
              <w:rPr>
                <w:rFonts w:ascii="Arial" w:hAnsi="Arial" w:cs="Arial"/>
                <w:sz w:val="20"/>
                <w:szCs w:val="20"/>
                <w:lang w:val="es-ES"/>
              </w:rPr>
            </w:pPr>
            <w:r w:rsidRPr="00A857F1">
              <w:rPr>
                <w:rFonts w:ascii="Arial" w:hAnsi="Arial" w:cs="Arial"/>
                <w:sz w:val="20"/>
                <w:szCs w:val="20"/>
                <w:lang w:val="es-ES"/>
              </w:rPr>
              <w:t>88.00%</w:t>
            </w:r>
          </w:p>
        </w:tc>
        <w:tc>
          <w:tcPr>
            <w:tcW w:w="2084" w:type="dxa"/>
            <w:vAlign w:val="center"/>
          </w:tcPr>
          <w:p w14:paraId="293978F8" w14:textId="77777777" w:rsidR="00CC115D" w:rsidRPr="00A857F1" w:rsidRDefault="00CC115D" w:rsidP="00BC2BA2">
            <w:pPr>
              <w:pStyle w:val="Sinespaciado"/>
              <w:spacing w:line="360" w:lineRule="auto"/>
              <w:jc w:val="center"/>
              <w:rPr>
                <w:rFonts w:ascii="Arial" w:hAnsi="Arial" w:cs="Arial"/>
                <w:sz w:val="20"/>
                <w:szCs w:val="20"/>
                <w:lang w:val="es-ES"/>
              </w:rPr>
            </w:pPr>
            <w:r w:rsidRPr="00A857F1">
              <w:rPr>
                <w:rFonts w:ascii="Arial" w:hAnsi="Arial" w:cs="Arial"/>
                <w:sz w:val="20"/>
                <w:szCs w:val="20"/>
                <w:lang w:val="es-ES"/>
              </w:rPr>
              <w:t>97.00%</w:t>
            </w:r>
          </w:p>
        </w:tc>
      </w:tr>
      <w:tr w:rsidR="00CC115D" w:rsidRPr="00A857F1" w14:paraId="7408B55E" w14:textId="77777777" w:rsidTr="0050194C">
        <w:trPr>
          <w:jc w:val="center"/>
        </w:trPr>
        <w:tc>
          <w:tcPr>
            <w:tcW w:w="2828" w:type="dxa"/>
            <w:vAlign w:val="center"/>
          </w:tcPr>
          <w:p w14:paraId="3BF537F7" w14:textId="77777777" w:rsidR="00CC115D" w:rsidRPr="00A857F1" w:rsidRDefault="00CC115D" w:rsidP="00BC2BA2">
            <w:pPr>
              <w:pStyle w:val="Sinespaciado"/>
              <w:spacing w:line="360" w:lineRule="auto"/>
              <w:rPr>
                <w:rFonts w:ascii="Arial" w:hAnsi="Arial" w:cs="Arial"/>
                <w:sz w:val="20"/>
                <w:szCs w:val="20"/>
                <w:lang w:val="es-ES"/>
              </w:rPr>
            </w:pPr>
            <w:r w:rsidRPr="00A857F1">
              <w:rPr>
                <w:rFonts w:ascii="Arial" w:hAnsi="Arial" w:cs="Arial"/>
                <w:sz w:val="20"/>
                <w:szCs w:val="20"/>
                <w:lang w:val="es-ES"/>
              </w:rPr>
              <w:t>2.1.2.C. Servicios disponibles en la herramienta multiplataforma</w:t>
            </w:r>
          </w:p>
        </w:tc>
        <w:tc>
          <w:tcPr>
            <w:tcW w:w="2084" w:type="dxa"/>
            <w:vAlign w:val="center"/>
          </w:tcPr>
          <w:p w14:paraId="4970BFFE" w14:textId="77777777" w:rsidR="00CC115D" w:rsidRPr="00A857F1" w:rsidRDefault="00CC115D" w:rsidP="00BC2BA2">
            <w:pPr>
              <w:spacing w:line="360" w:lineRule="auto"/>
              <w:jc w:val="center"/>
              <w:rPr>
                <w:rFonts w:ascii="Arial" w:hAnsi="Arial" w:cs="Arial"/>
                <w:sz w:val="20"/>
                <w:szCs w:val="20"/>
                <w:lang w:val="es-ES"/>
              </w:rPr>
            </w:pPr>
            <w:r w:rsidRPr="00A857F1">
              <w:rPr>
                <w:rFonts w:ascii="Arial" w:hAnsi="Arial" w:cs="Arial"/>
                <w:sz w:val="20"/>
                <w:szCs w:val="20"/>
                <w:lang w:val="es-ES"/>
              </w:rPr>
              <w:t>SLB</w:t>
            </w:r>
          </w:p>
        </w:tc>
        <w:tc>
          <w:tcPr>
            <w:tcW w:w="2084" w:type="dxa"/>
            <w:vAlign w:val="center"/>
          </w:tcPr>
          <w:p w14:paraId="05825522" w14:textId="77777777" w:rsidR="00CC115D" w:rsidRPr="00A857F1" w:rsidRDefault="00CC115D" w:rsidP="00BC2BA2">
            <w:pPr>
              <w:spacing w:line="360" w:lineRule="auto"/>
              <w:jc w:val="center"/>
              <w:rPr>
                <w:rFonts w:ascii="Arial" w:hAnsi="Arial" w:cs="Arial"/>
                <w:sz w:val="20"/>
                <w:szCs w:val="20"/>
                <w:lang w:val="es-ES"/>
              </w:rPr>
            </w:pPr>
            <w:r w:rsidRPr="00A857F1">
              <w:rPr>
                <w:rFonts w:ascii="Arial" w:hAnsi="Arial" w:cs="Arial"/>
                <w:sz w:val="20"/>
                <w:szCs w:val="20"/>
                <w:lang w:val="es-ES"/>
              </w:rPr>
              <w:t>95.00%</w:t>
            </w:r>
          </w:p>
        </w:tc>
      </w:tr>
      <w:tr w:rsidR="00CC115D" w:rsidRPr="00A857F1" w14:paraId="31129BD8" w14:textId="77777777" w:rsidTr="0050194C">
        <w:trPr>
          <w:jc w:val="center"/>
        </w:trPr>
        <w:tc>
          <w:tcPr>
            <w:tcW w:w="2828" w:type="dxa"/>
            <w:vAlign w:val="center"/>
          </w:tcPr>
          <w:p w14:paraId="0D22C3F3" w14:textId="77777777" w:rsidR="00CC115D" w:rsidRPr="00A857F1" w:rsidRDefault="00CC115D" w:rsidP="00BC2BA2">
            <w:pPr>
              <w:pStyle w:val="Sinespaciado"/>
              <w:spacing w:line="360" w:lineRule="auto"/>
              <w:rPr>
                <w:rFonts w:ascii="Arial" w:hAnsi="Arial" w:cs="Arial"/>
                <w:sz w:val="20"/>
                <w:szCs w:val="20"/>
                <w:lang w:val="es-ES"/>
              </w:rPr>
            </w:pPr>
            <w:r w:rsidRPr="00A857F1">
              <w:rPr>
                <w:rFonts w:ascii="Arial" w:hAnsi="Arial" w:cs="Arial"/>
                <w:sz w:val="20"/>
                <w:szCs w:val="20"/>
                <w:lang w:val="es-ES"/>
              </w:rPr>
              <w:t>2.1.2.D. Plataforma OTT propia diseñada e implementada</w:t>
            </w:r>
          </w:p>
        </w:tc>
        <w:tc>
          <w:tcPr>
            <w:tcW w:w="2084" w:type="dxa"/>
            <w:vAlign w:val="center"/>
          </w:tcPr>
          <w:p w14:paraId="09C3EADE" w14:textId="77777777" w:rsidR="00CC115D" w:rsidRPr="00A857F1" w:rsidRDefault="00CC115D" w:rsidP="00BC2BA2">
            <w:pPr>
              <w:spacing w:line="360" w:lineRule="auto"/>
              <w:jc w:val="center"/>
              <w:rPr>
                <w:rFonts w:ascii="Arial" w:hAnsi="Arial" w:cs="Arial"/>
                <w:sz w:val="20"/>
                <w:szCs w:val="20"/>
                <w:lang w:val="es-ES"/>
              </w:rPr>
            </w:pPr>
            <w:r w:rsidRPr="00A857F1">
              <w:rPr>
                <w:rFonts w:ascii="Arial" w:hAnsi="Arial" w:cs="Arial"/>
                <w:sz w:val="20"/>
                <w:szCs w:val="20"/>
                <w:lang w:val="es-ES"/>
              </w:rPr>
              <w:t>0.00%</w:t>
            </w:r>
          </w:p>
        </w:tc>
        <w:tc>
          <w:tcPr>
            <w:tcW w:w="2084" w:type="dxa"/>
            <w:vAlign w:val="center"/>
          </w:tcPr>
          <w:p w14:paraId="3C15F2DB" w14:textId="77777777" w:rsidR="00CC115D" w:rsidRPr="00A857F1" w:rsidRDefault="00CC115D" w:rsidP="00BC2BA2">
            <w:pPr>
              <w:spacing w:line="360" w:lineRule="auto"/>
              <w:jc w:val="center"/>
              <w:rPr>
                <w:rFonts w:ascii="Arial" w:hAnsi="Arial" w:cs="Arial"/>
                <w:sz w:val="20"/>
                <w:szCs w:val="20"/>
                <w:lang w:val="es-ES"/>
              </w:rPr>
            </w:pPr>
            <w:r w:rsidRPr="00A857F1">
              <w:rPr>
                <w:rFonts w:ascii="Arial" w:hAnsi="Arial" w:cs="Arial"/>
                <w:sz w:val="20"/>
                <w:szCs w:val="20"/>
                <w:lang w:val="es-ES"/>
              </w:rPr>
              <w:t>100.00%</w:t>
            </w:r>
          </w:p>
        </w:tc>
      </w:tr>
    </w:tbl>
    <w:p w14:paraId="31F1709B" w14:textId="77777777" w:rsidR="00CC115D" w:rsidRPr="00A857F1" w:rsidRDefault="00CC115D" w:rsidP="00BC2BA2">
      <w:pPr>
        <w:spacing w:line="360" w:lineRule="auto"/>
        <w:jc w:val="both"/>
        <w:rPr>
          <w:rFonts w:ascii="Arial" w:eastAsia="Times New Roman" w:hAnsi="Arial" w:cs="Arial"/>
          <w:sz w:val="20"/>
          <w:szCs w:val="20"/>
        </w:rPr>
      </w:pPr>
    </w:p>
    <w:tbl>
      <w:tblPr>
        <w:tblW w:w="5000" w:type="pct"/>
        <w:tblCellMar>
          <w:left w:w="70" w:type="dxa"/>
          <w:right w:w="70" w:type="dxa"/>
        </w:tblCellMar>
        <w:tblLook w:val="04A0" w:firstRow="1" w:lastRow="0" w:firstColumn="1" w:lastColumn="0" w:noHBand="0" w:noVBand="1"/>
      </w:tblPr>
      <w:tblGrid>
        <w:gridCol w:w="982"/>
        <w:gridCol w:w="1739"/>
        <w:gridCol w:w="961"/>
        <w:gridCol w:w="819"/>
        <w:gridCol w:w="930"/>
        <w:gridCol w:w="819"/>
        <w:gridCol w:w="819"/>
        <w:gridCol w:w="819"/>
        <w:gridCol w:w="930"/>
      </w:tblGrid>
      <w:tr w:rsidR="00914596" w:rsidRPr="00914596" w14:paraId="481F446D" w14:textId="77777777" w:rsidTr="00914596">
        <w:trPr>
          <w:trHeight w:val="735"/>
        </w:trPr>
        <w:tc>
          <w:tcPr>
            <w:tcW w:w="557" w:type="pct"/>
            <w:tcBorders>
              <w:top w:val="single" w:sz="8" w:space="0" w:color="auto"/>
              <w:left w:val="single" w:sz="8" w:space="0" w:color="auto"/>
              <w:bottom w:val="single" w:sz="8" w:space="0" w:color="auto"/>
              <w:right w:val="single" w:sz="8" w:space="0" w:color="auto"/>
            </w:tcBorders>
            <w:shd w:val="clear" w:color="000000" w:fill="92D050"/>
            <w:vAlign w:val="center"/>
            <w:hideMark/>
          </w:tcPr>
          <w:p w14:paraId="07475571"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lastRenderedPageBreak/>
              <w:t>Código</w:t>
            </w:r>
          </w:p>
        </w:tc>
        <w:tc>
          <w:tcPr>
            <w:tcW w:w="985" w:type="pct"/>
            <w:tcBorders>
              <w:top w:val="single" w:sz="8" w:space="0" w:color="auto"/>
              <w:left w:val="nil"/>
              <w:bottom w:val="single" w:sz="8" w:space="0" w:color="auto"/>
              <w:right w:val="single" w:sz="8" w:space="0" w:color="auto"/>
            </w:tcBorders>
            <w:shd w:val="clear" w:color="000000" w:fill="92D050"/>
            <w:vAlign w:val="center"/>
            <w:hideMark/>
          </w:tcPr>
          <w:p w14:paraId="56A58DDE"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Nombre</w:t>
            </w:r>
          </w:p>
        </w:tc>
        <w:tc>
          <w:tcPr>
            <w:tcW w:w="545" w:type="pct"/>
            <w:tcBorders>
              <w:top w:val="single" w:sz="8" w:space="0" w:color="auto"/>
              <w:left w:val="nil"/>
              <w:bottom w:val="single" w:sz="8" w:space="0" w:color="auto"/>
              <w:right w:val="single" w:sz="8" w:space="0" w:color="auto"/>
            </w:tcBorders>
            <w:shd w:val="clear" w:color="000000" w:fill="92D050"/>
            <w:vAlign w:val="center"/>
            <w:hideMark/>
          </w:tcPr>
          <w:p w14:paraId="284051DF"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Tipo</w:t>
            </w:r>
          </w:p>
        </w:tc>
        <w:tc>
          <w:tcPr>
            <w:tcW w:w="464" w:type="pct"/>
            <w:tcBorders>
              <w:top w:val="single" w:sz="8" w:space="0" w:color="auto"/>
              <w:left w:val="nil"/>
              <w:bottom w:val="single" w:sz="8" w:space="0" w:color="auto"/>
              <w:right w:val="single" w:sz="8" w:space="0" w:color="auto"/>
            </w:tcBorders>
            <w:shd w:val="clear" w:color="000000" w:fill="92D050"/>
            <w:vAlign w:val="center"/>
            <w:hideMark/>
          </w:tcPr>
          <w:p w14:paraId="469191C8"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Línea Base</w:t>
            </w:r>
          </w:p>
        </w:tc>
        <w:tc>
          <w:tcPr>
            <w:tcW w:w="527" w:type="pct"/>
            <w:tcBorders>
              <w:top w:val="single" w:sz="8" w:space="0" w:color="auto"/>
              <w:left w:val="nil"/>
              <w:bottom w:val="single" w:sz="8" w:space="0" w:color="auto"/>
              <w:right w:val="single" w:sz="8" w:space="0" w:color="auto"/>
            </w:tcBorders>
            <w:shd w:val="clear" w:color="000000" w:fill="92D050"/>
            <w:vAlign w:val="center"/>
            <w:hideMark/>
          </w:tcPr>
          <w:p w14:paraId="59928138"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w:t>
            </w:r>
          </w:p>
        </w:tc>
        <w:tc>
          <w:tcPr>
            <w:tcW w:w="464" w:type="pct"/>
            <w:tcBorders>
              <w:top w:val="single" w:sz="8" w:space="0" w:color="auto"/>
              <w:left w:val="nil"/>
              <w:bottom w:val="single" w:sz="8" w:space="0" w:color="auto"/>
              <w:right w:val="single" w:sz="8" w:space="0" w:color="auto"/>
            </w:tcBorders>
            <w:shd w:val="clear" w:color="000000" w:fill="92D050"/>
            <w:vAlign w:val="center"/>
            <w:hideMark/>
          </w:tcPr>
          <w:p w14:paraId="647419D5"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2020</w:t>
            </w:r>
          </w:p>
        </w:tc>
        <w:tc>
          <w:tcPr>
            <w:tcW w:w="464" w:type="pct"/>
            <w:tcBorders>
              <w:top w:val="single" w:sz="8" w:space="0" w:color="auto"/>
              <w:left w:val="nil"/>
              <w:bottom w:val="single" w:sz="8" w:space="0" w:color="auto"/>
              <w:right w:val="single" w:sz="8" w:space="0" w:color="auto"/>
            </w:tcBorders>
            <w:shd w:val="clear" w:color="000000" w:fill="92D050"/>
            <w:vAlign w:val="center"/>
            <w:hideMark/>
          </w:tcPr>
          <w:p w14:paraId="550FEE13"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2021</w:t>
            </w:r>
          </w:p>
        </w:tc>
        <w:tc>
          <w:tcPr>
            <w:tcW w:w="464" w:type="pct"/>
            <w:tcBorders>
              <w:top w:val="single" w:sz="8" w:space="0" w:color="auto"/>
              <w:left w:val="nil"/>
              <w:bottom w:val="single" w:sz="8" w:space="0" w:color="auto"/>
              <w:right w:val="single" w:sz="8" w:space="0" w:color="auto"/>
            </w:tcBorders>
            <w:shd w:val="clear" w:color="000000" w:fill="92D050"/>
            <w:vAlign w:val="center"/>
            <w:hideMark/>
          </w:tcPr>
          <w:p w14:paraId="5F2D25BE"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2022</w:t>
            </w:r>
          </w:p>
        </w:tc>
        <w:tc>
          <w:tcPr>
            <w:tcW w:w="527" w:type="pct"/>
            <w:tcBorders>
              <w:top w:val="single" w:sz="8" w:space="0" w:color="auto"/>
              <w:left w:val="nil"/>
              <w:bottom w:val="single" w:sz="8" w:space="0" w:color="auto"/>
              <w:right w:val="single" w:sz="8" w:space="0" w:color="auto"/>
            </w:tcBorders>
            <w:shd w:val="clear" w:color="000000" w:fill="92D050"/>
            <w:vAlign w:val="center"/>
            <w:hideMark/>
          </w:tcPr>
          <w:p w14:paraId="620DD7DE" w14:textId="77777777" w:rsidR="00914596" w:rsidRPr="00914596" w:rsidRDefault="00914596" w:rsidP="00914596">
            <w:pPr>
              <w:spacing w:after="0" w:line="240" w:lineRule="auto"/>
              <w:jc w:val="center"/>
              <w:rPr>
                <w:rFonts w:ascii="Arial" w:eastAsia="Times New Roman" w:hAnsi="Arial" w:cs="Arial"/>
                <w:b/>
                <w:bCs/>
                <w:color w:val="FFFFFF"/>
                <w:sz w:val="20"/>
                <w:szCs w:val="20"/>
                <w:lang w:eastAsia="es-CO"/>
              </w:rPr>
            </w:pPr>
            <w:r w:rsidRPr="00914596">
              <w:rPr>
                <w:rFonts w:ascii="Arial" w:eastAsia="Times New Roman" w:hAnsi="Arial" w:cs="Arial"/>
                <w:b/>
                <w:bCs/>
                <w:color w:val="FFFFFF"/>
                <w:sz w:val="20"/>
                <w:szCs w:val="20"/>
                <w:lang w:eastAsia="es-CO"/>
              </w:rPr>
              <w:t>Meta 2023</w:t>
            </w:r>
          </w:p>
        </w:tc>
      </w:tr>
      <w:tr w:rsidR="00914596" w:rsidRPr="00914596" w14:paraId="3F34DBAE" w14:textId="77777777" w:rsidTr="00914596">
        <w:trPr>
          <w:trHeight w:val="360"/>
        </w:trPr>
        <w:tc>
          <w:tcPr>
            <w:tcW w:w="557" w:type="pct"/>
            <w:tcBorders>
              <w:top w:val="nil"/>
              <w:left w:val="single" w:sz="4" w:space="0" w:color="auto"/>
              <w:bottom w:val="single" w:sz="4" w:space="0" w:color="auto"/>
              <w:right w:val="single" w:sz="4" w:space="0" w:color="auto"/>
            </w:tcBorders>
            <w:shd w:val="clear" w:color="auto" w:fill="auto"/>
            <w:vAlign w:val="center"/>
            <w:hideMark/>
          </w:tcPr>
          <w:p w14:paraId="7290EF33" w14:textId="77777777" w:rsidR="00914596" w:rsidRPr="00914596" w:rsidRDefault="00914596" w:rsidP="00914596">
            <w:pPr>
              <w:spacing w:after="0" w:line="240" w:lineRule="auto"/>
              <w:jc w:val="right"/>
              <w:rPr>
                <w:rFonts w:ascii="Arial" w:eastAsia="Times New Roman" w:hAnsi="Arial" w:cs="Arial"/>
                <w:b/>
                <w:bCs/>
                <w:sz w:val="20"/>
                <w:szCs w:val="20"/>
                <w:lang w:eastAsia="es-CO"/>
              </w:rPr>
            </w:pPr>
            <w:r w:rsidRPr="00914596">
              <w:rPr>
                <w:rFonts w:ascii="Arial" w:eastAsia="Times New Roman" w:hAnsi="Arial" w:cs="Arial"/>
                <w:b/>
                <w:bCs/>
                <w:sz w:val="20"/>
                <w:szCs w:val="20"/>
                <w:lang w:eastAsia="es-CO"/>
              </w:rPr>
              <w:t>2.1.2.A.</w:t>
            </w:r>
          </w:p>
        </w:tc>
        <w:tc>
          <w:tcPr>
            <w:tcW w:w="985" w:type="pct"/>
            <w:tcBorders>
              <w:top w:val="nil"/>
              <w:left w:val="nil"/>
              <w:bottom w:val="single" w:sz="4" w:space="0" w:color="auto"/>
              <w:right w:val="single" w:sz="4" w:space="0" w:color="auto"/>
            </w:tcBorders>
            <w:shd w:val="clear" w:color="auto" w:fill="auto"/>
            <w:vAlign w:val="center"/>
            <w:hideMark/>
          </w:tcPr>
          <w:p w14:paraId="3D355D0E"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Cobertura red análoga</w:t>
            </w:r>
          </w:p>
        </w:tc>
        <w:tc>
          <w:tcPr>
            <w:tcW w:w="545" w:type="pct"/>
            <w:tcBorders>
              <w:top w:val="nil"/>
              <w:left w:val="nil"/>
              <w:bottom w:val="single" w:sz="4" w:space="0" w:color="auto"/>
              <w:right w:val="single" w:sz="4" w:space="0" w:color="auto"/>
            </w:tcBorders>
            <w:shd w:val="clear" w:color="auto" w:fill="auto"/>
            <w:vAlign w:val="center"/>
            <w:hideMark/>
          </w:tcPr>
          <w:p w14:paraId="433FC0B8"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Producto</w:t>
            </w:r>
          </w:p>
        </w:tc>
        <w:tc>
          <w:tcPr>
            <w:tcW w:w="464" w:type="pct"/>
            <w:tcBorders>
              <w:top w:val="nil"/>
              <w:left w:val="nil"/>
              <w:bottom w:val="single" w:sz="4" w:space="0" w:color="auto"/>
              <w:right w:val="single" w:sz="4" w:space="0" w:color="auto"/>
            </w:tcBorders>
            <w:shd w:val="clear" w:color="auto" w:fill="auto"/>
            <w:vAlign w:val="center"/>
            <w:hideMark/>
          </w:tcPr>
          <w:p w14:paraId="7FD13C7D"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65,00%</w:t>
            </w:r>
          </w:p>
        </w:tc>
        <w:tc>
          <w:tcPr>
            <w:tcW w:w="527" w:type="pct"/>
            <w:tcBorders>
              <w:top w:val="nil"/>
              <w:left w:val="nil"/>
              <w:bottom w:val="single" w:sz="4" w:space="0" w:color="auto"/>
              <w:right w:val="single" w:sz="4" w:space="0" w:color="auto"/>
            </w:tcBorders>
            <w:shd w:val="clear" w:color="auto" w:fill="auto"/>
            <w:vAlign w:val="center"/>
            <w:hideMark/>
          </w:tcPr>
          <w:p w14:paraId="190A8BF6"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70,00%</w:t>
            </w:r>
          </w:p>
        </w:tc>
        <w:tc>
          <w:tcPr>
            <w:tcW w:w="464" w:type="pct"/>
            <w:tcBorders>
              <w:top w:val="nil"/>
              <w:left w:val="nil"/>
              <w:bottom w:val="single" w:sz="4" w:space="0" w:color="auto"/>
              <w:right w:val="single" w:sz="4" w:space="0" w:color="auto"/>
            </w:tcBorders>
            <w:shd w:val="clear" w:color="auto" w:fill="auto"/>
            <w:vAlign w:val="center"/>
            <w:hideMark/>
          </w:tcPr>
          <w:p w14:paraId="44A81C48"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65,00%</w:t>
            </w:r>
          </w:p>
        </w:tc>
        <w:tc>
          <w:tcPr>
            <w:tcW w:w="464" w:type="pct"/>
            <w:tcBorders>
              <w:top w:val="nil"/>
              <w:left w:val="nil"/>
              <w:bottom w:val="single" w:sz="4" w:space="0" w:color="auto"/>
              <w:right w:val="single" w:sz="4" w:space="0" w:color="auto"/>
            </w:tcBorders>
            <w:shd w:val="clear" w:color="auto" w:fill="auto"/>
            <w:vAlign w:val="center"/>
            <w:hideMark/>
          </w:tcPr>
          <w:p w14:paraId="0051CDAD"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70,00%</w:t>
            </w:r>
          </w:p>
        </w:tc>
        <w:tc>
          <w:tcPr>
            <w:tcW w:w="464" w:type="pct"/>
            <w:tcBorders>
              <w:top w:val="nil"/>
              <w:left w:val="nil"/>
              <w:bottom w:val="single" w:sz="4" w:space="0" w:color="auto"/>
              <w:right w:val="single" w:sz="4" w:space="0" w:color="auto"/>
            </w:tcBorders>
            <w:shd w:val="clear" w:color="auto" w:fill="auto"/>
            <w:noWrap/>
            <w:vAlign w:val="center"/>
            <w:hideMark/>
          </w:tcPr>
          <w:p w14:paraId="5D4C1F51"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70,00%</w:t>
            </w:r>
          </w:p>
        </w:tc>
        <w:tc>
          <w:tcPr>
            <w:tcW w:w="527" w:type="pct"/>
            <w:tcBorders>
              <w:top w:val="nil"/>
              <w:left w:val="nil"/>
              <w:bottom w:val="single" w:sz="4" w:space="0" w:color="auto"/>
              <w:right w:val="single" w:sz="4" w:space="0" w:color="auto"/>
            </w:tcBorders>
            <w:shd w:val="clear" w:color="auto" w:fill="auto"/>
            <w:noWrap/>
            <w:vAlign w:val="center"/>
            <w:hideMark/>
          </w:tcPr>
          <w:p w14:paraId="4C5A4C7B"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70,00%</w:t>
            </w:r>
          </w:p>
        </w:tc>
      </w:tr>
      <w:tr w:rsidR="00914596" w:rsidRPr="00914596" w14:paraId="5907776E" w14:textId="77777777" w:rsidTr="00914596">
        <w:trPr>
          <w:trHeight w:val="360"/>
        </w:trPr>
        <w:tc>
          <w:tcPr>
            <w:tcW w:w="557" w:type="pct"/>
            <w:tcBorders>
              <w:top w:val="nil"/>
              <w:left w:val="single" w:sz="4" w:space="0" w:color="auto"/>
              <w:bottom w:val="single" w:sz="4" w:space="0" w:color="auto"/>
              <w:right w:val="single" w:sz="4" w:space="0" w:color="auto"/>
            </w:tcBorders>
            <w:shd w:val="clear" w:color="auto" w:fill="auto"/>
            <w:vAlign w:val="center"/>
            <w:hideMark/>
          </w:tcPr>
          <w:p w14:paraId="69DC899C" w14:textId="77777777" w:rsidR="00914596" w:rsidRPr="00914596" w:rsidRDefault="00914596" w:rsidP="00914596">
            <w:pPr>
              <w:spacing w:after="0" w:line="240" w:lineRule="auto"/>
              <w:jc w:val="right"/>
              <w:rPr>
                <w:rFonts w:ascii="Arial" w:eastAsia="Times New Roman" w:hAnsi="Arial" w:cs="Arial"/>
                <w:b/>
                <w:bCs/>
                <w:sz w:val="20"/>
                <w:szCs w:val="20"/>
                <w:lang w:eastAsia="es-CO"/>
              </w:rPr>
            </w:pPr>
            <w:r w:rsidRPr="00914596">
              <w:rPr>
                <w:rFonts w:ascii="Arial" w:eastAsia="Times New Roman" w:hAnsi="Arial" w:cs="Arial"/>
                <w:b/>
                <w:bCs/>
                <w:sz w:val="20"/>
                <w:szCs w:val="20"/>
                <w:lang w:eastAsia="es-CO"/>
              </w:rPr>
              <w:t>2.1.2.B.</w:t>
            </w:r>
          </w:p>
        </w:tc>
        <w:tc>
          <w:tcPr>
            <w:tcW w:w="985" w:type="pct"/>
            <w:tcBorders>
              <w:top w:val="nil"/>
              <w:left w:val="nil"/>
              <w:bottom w:val="single" w:sz="4" w:space="0" w:color="auto"/>
              <w:right w:val="single" w:sz="4" w:space="0" w:color="auto"/>
            </w:tcBorders>
            <w:shd w:val="clear" w:color="auto" w:fill="auto"/>
            <w:vAlign w:val="center"/>
            <w:hideMark/>
          </w:tcPr>
          <w:p w14:paraId="4C9818FC"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Cobertura red digital</w:t>
            </w:r>
          </w:p>
        </w:tc>
        <w:tc>
          <w:tcPr>
            <w:tcW w:w="545" w:type="pct"/>
            <w:tcBorders>
              <w:top w:val="nil"/>
              <w:left w:val="nil"/>
              <w:bottom w:val="single" w:sz="4" w:space="0" w:color="auto"/>
              <w:right w:val="single" w:sz="4" w:space="0" w:color="auto"/>
            </w:tcBorders>
            <w:shd w:val="clear" w:color="auto" w:fill="auto"/>
            <w:vAlign w:val="center"/>
            <w:hideMark/>
          </w:tcPr>
          <w:p w14:paraId="02036A4C"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Producto</w:t>
            </w:r>
          </w:p>
        </w:tc>
        <w:tc>
          <w:tcPr>
            <w:tcW w:w="464" w:type="pct"/>
            <w:tcBorders>
              <w:top w:val="nil"/>
              <w:left w:val="nil"/>
              <w:bottom w:val="single" w:sz="4" w:space="0" w:color="auto"/>
              <w:right w:val="single" w:sz="4" w:space="0" w:color="auto"/>
            </w:tcBorders>
            <w:shd w:val="clear" w:color="auto" w:fill="auto"/>
            <w:vAlign w:val="center"/>
            <w:hideMark/>
          </w:tcPr>
          <w:p w14:paraId="5811848E"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88,00%</w:t>
            </w:r>
          </w:p>
        </w:tc>
        <w:tc>
          <w:tcPr>
            <w:tcW w:w="527" w:type="pct"/>
            <w:tcBorders>
              <w:top w:val="nil"/>
              <w:left w:val="nil"/>
              <w:bottom w:val="single" w:sz="4" w:space="0" w:color="auto"/>
              <w:right w:val="single" w:sz="4" w:space="0" w:color="auto"/>
            </w:tcBorders>
            <w:shd w:val="clear" w:color="auto" w:fill="auto"/>
            <w:vAlign w:val="center"/>
            <w:hideMark/>
          </w:tcPr>
          <w:p w14:paraId="3317161A"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97,00%</w:t>
            </w:r>
          </w:p>
        </w:tc>
        <w:tc>
          <w:tcPr>
            <w:tcW w:w="464" w:type="pct"/>
            <w:tcBorders>
              <w:top w:val="nil"/>
              <w:left w:val="nil"/>
              <w:bottom w:val="single" w:sz="4" w:space="0" w:color="auto"/>
              <w:right w:val="single" w:sz="4" w:space="0" w:color="auto"/>
            </w:tcBorders>
            <w:shd w:val="clear" w:color="auto" w:fill="auto"/>
            <w:vAlign w:val="center"/>
            <w:hideMark/>
          </w:tcPr>
          <w:p w14:paraId="17B7BE1D"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88,00%</w:t>
            </w:r>
          </w:p>
        </w:tc>
        <w:tc>
          <w:tcPr>
            <w:tcW w:w="464" w:type="pct"/>
            <w:tcBorders>
              <w:top w:val="nil"/>
              <w:left w:val="nil"/>
              <w:bottom w:val="single" w:sz="4" w:space="0" w:color="auto"/>
              <w:right w:val="single" w:sz="4" w:space="0" w:color="auto"/>
            </w:tcBorders>
            <w:shd w:val="clear" w:color="auto" w:fill="auto"/>
            <w:vAlign w:val="center"/>
            <w:hideMark/>
          </w:tcPr>
          <w:p w14:paraId="7F0509C4"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91,00%</w:t>
            </w:r>
          </w:p>
        </w:tc>
        <w:tc>
          <w:tcPr>
            <w:tcW w:w="464" w:type="pct"/>
            <w:tcBorders>
              <w:top w:val="nil"/>
              <w:left w:val="nil"/>
              <w:bottom w:val="single" w:sz="4" w:space="0" w:color="auto"/>
              <w:right w:val="single" w:sz="4" w:space="0" w:color="auto"/>
            </w:tcBorders>
            <w:shd w:val="clear" w:color="auto" w:fill="auto"/>
            <w:noWrap/>
            <w:vAlign w:val="center"/>
            <w:hideMark/>
          </w:tcPr>
          <w:p w14:paraId="7F549CFC"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94,00%</w:t>
            </w:r>
          </w:p>
        </w:tc>
        <w:tc>
          <w:tcPr>
            <w:tcW w:w="527" w:type="pct"/>
            <w:tcBorders>
              <w:top w:val="nil"/>
              <w:left w:val="nil"/>
              <w:bottom w:val="single" w:sz="4" w:space="0" w:color="auto"/>
              <w:right w:val="single" w:sz="4" w:space="0" w:color="auto"/>
            </w:tcBorders>
            <w:shd w:val="clear" w:color="auto" w:fill="auto"/>
            <w:noWrap/>
            <w:vAlign w:val="center"/>
            <w:hideMark/>
          </w:tcPr>
          <w:p w14:paraId="6C176841"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97,00%</w:t>
            </w:r>
          </w:p>
        </w:tc>
      </w:tr>
      <w:tr w:rsidR="00914596" w:rsidRPr="00914596" w14:paraId="0FCC8C23" w14:textId="77777777" w:rsidTr="00914596">
        <w:trPr>
          <w:trHeight w:val="720"/>
        </w:trPr>
        <w:tc>
          <w:tcPr>
            <w:tcW w:w="557" w:type="pct"/>
            <w:tcBorders>
              <w:top w:val="nil"/>
              <w:left w:val="single" w:sz="4" w:space="0" w:color="auto"/>
              <w:bottom w:val="single" w:sz="4" w:space="0" w:color="auto"/>
              <w:right w:val="single" w:sz="4" w:space="0" w:color="auto"/>
            </w:tcBorders>
            <w:shd w:val="clear" w:color="auto" w:fill="auto"/>
            <w:vAlign w:val="center"/>
            <w:hideMark/>
          </w:tcPr>
          <w:p w14:paraId="0E7D8D82" w14:textId="77777777" w:rsidR="00914596" w:rsidRPr="00914596" w:rsidRDefault="00914596" w:rsidP="00914596">
            <w:pPr>
              <w:spacing w:after="0" w:line="240" w:lineRule="auto"/>
              <w:jc w:val="right"/>
              <w:rPr>
                <w:rFonts w:ascii="Arial" w:eastAsia="Times New Roman" w:hAnsi="Arial" w:cs="Arial"/>
                <w:b/>
                <w:bCs/>
                <w:sz w:val="20"/>
                <w:szCs w:val="20"/>
                <w:lang w:eastAsia="es-CO"/>
              </w:rPr>
            </w:pPr>
            <w:r w:rsidRPr="00914596">
              <w:rPr>
                <w:rFonts w:ascii="Arial" w:eastAsia="Times New Roman" w:hAnsi="Arial" w:cs="Arial"/>
                <w:b/>
                <w:bCs/>
                <w:sz w:val="20"/>
                <w:szCs w:val="20"/>
                <w:lang w:eastAsia="es-CO"/>
              </w:rPr>
              <w:t>2.1.2.C.</w:t>
            </w:r>
          </w:p>
        </w:tc>
        <w:tc>
          <w:tcPr>
            <w:tcW w:w="985" w:type="pct"/>
            <w:tcBorders>
              <w:top w:val="nil"/>
              <w:left w:val="nil"/>
              <w:bottom w:val="single" w:sz="4" w:space="0" w:color="auto"/>
              <w:right w:val="single" w:sz="4" w:space="0" w:color="auto"/>
            </w:tcBorders>
            <w:shd w:val="clear" w:color="auto" w:fill="auto"/>
            <w:vAlign w:val="center"/>
            <w:hideMark/>
          </w:tcPr>
          <w:p w14:paraId="01AA5FD7"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Servicios disponibles en la herramienta multiplataforma</w:t>
            </w:r>
          </w:p>
        </w:tc>
        <w:tc>
          <w:tcPr>
            <w:tcW w:w="545" w:type="pct"/>
            <w:tcBorders>
              <w:top w:val="nil"/>
              <w:left w:val="nil"/>
              <w:bottom w:val="single" w:sz="4" w:space="0" w:color="auto"/>
              <w:right w:val="single" w:sz="4" w:space="0" w:color="auto"/>
            </w:tcBorders>
            <w:shd w:val="clear" w:color="auto" w:fill="auto"/>
            <w:vAlign w:val="center"/>
            <w:hideMark/>
          </w:tcPr>
          <w:p w14:paraId="002B63A5"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Producto</w:t>
            </w:r>
          </w:p>
        </w:tc>
        <w:tc>
          <w:tcPr>
            <w:tcW w:w="464" w:type="pct"/>
            <w:tcBorders>
              <w:top w:val="nil"/>
              <w:left w:val="nil"/>
              <w:bottom w:val="single" w:sz="4" w:space="0" w:color="auto"/>
              <w:right w:val="single" w:sz="4" w:space="0" w:color="auto"/>
            </w:tcBorders>
            <w:shd w:val="clear" w:color="auto" w:fill="auto"/>
            <w:vAlign w:val="center"/>
            <w:hideMark/>
          </w:tcPr>
          <w:p w14:paraId="1B9A6EB0"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SLB</w:t>
            </w:r>
          </w:p>
        </w:tc>
        <w:tc>
          <w:tcPr>
            <w:tcW w:w="527" w:type="pct"/>
            <w:tcBorders>
              <w:top w:val="nil"/>
              <w:left w:val="nil"/>
              <w:bottom w:val="single" w:sz="4" w:space="0" w:color="auto"/>
              <w:right w:val="single" w:sz="4" w:space="0" w:color="auto"/>
            </w:tcBorders>
            <w:shd w:val="clear" w:color="auto" w:fill="auto"/>
            <w:vAlign w:val="center"/>
            <w:hideMark/>
          </w:tcPr>
          <w:p w14:paraId="0E9513D3"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95,00%</w:t>
            </w:r>
          </w:p>
        </w:tc>
        <w:tc>
          <w:tcPr>
            <w:tcW w:w="464" w:type="pct"/>
            <w:tcBorders>
              <w:top w:val="nil"/>
              <w:left w:val="nil"/>
              <w:bottom w:val="single" w:sz="4" w:space="0" w:color="auto"/>
              <w:right w:val="single" w:sz="4" w:space="0" w:color="auto"/>
            </w:tcBorders>
            <w:shd w:val="clear" w:color="auto" w:fill="auto"/>
            <w:vAlign w:val="center"/>
            <w:hideMark/>
          </w:tcPr>
          <w:p w14:paraId="08265096"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50,00%</w:t>
            </w:r>
          </w:p>
        </w:tc>
        <w:tc>
          <w:tcPr>
            <w:tcW w:w="464" w:type="pct"/>
            <w:tcBorders>
              <w:top w:val="nil"/>
              <w:left w:val="nil"/>
              <w:bottom w:val="single" w:sz="4" w:space="0" w:color="auto"/>
              <w:right w:val="single" w:sz="4" w:space="0" w:color="auto"/>
            </w:tcBorders>
            <w:shd w:val="clear" w:color="auto" w:fill="auto"/>
            <w:vAlign w:val="center"/>
            <w:hideMark/>
          </w:tcPr>
          <w:p w14:paraId="40EE302E"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65,00%</w:t>
            </w:r>
          </w:p>
        </w:tc>
        <w:tc>
          <w:tcPr>
            <w:tcW w:w="464" w:type="pct"/>
            <w:tcBorders>
              <w:top w:val="nil"/>
              <w:left w:val="nil"/>
              <w:bottom w:val="single" w:sz="4" w:space="0" w:color="auto"/>
              <w:right w:val="single" w:sz="4" w:space="0" w:color="auto"/>
            </w:tcBorders>
            <w:shd w:val="clear" w:color="auto" w:fill="auto"/>
            <w:noWrap/>
            <w:vAlign w:val="center"/>
            <w:hideMark/>
          </w:tcPr>
          <w:p w14:paraId="0CBB3C91"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85,00%</w:t>
            </w:r>
          </w:p>
        </w:tc>
        <w:tc>
          <w:tcPr>
            <w:tcW w:w="527" w:type="pct"/>
            <w:tcBorders>
              <w:top w:val="nil"/>
              <w:left w:val="nil"/>
              <w:bottom w:val="single" w:sz="4" w:space="0" w:color="auto"/>
              <w:right w:val="single" w:sz="4" w:space="0" w:color="auto"/>
            </w:tcBorders>
            <w:shd w:val="clear" w:color="auto" w:fill="auto"/>
            <w:noWrap/>
            <w:vAlign w:val="center"/>
            <w:hideMark/>
          </w:tcPr>
          <w:p w14:paraId="060F30B7"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95,00%</w:t>
            </w:r>
          </w:p>
        </w:tc>
      </w:tr>
      <w:tr w:rsidR="00914596" w:rsidRPr="00914596" w14:paraId="1B8BE451" w14:textId="77777777" w:rsidTr="00914596">
        <w:trPr>
          <w:trHeight w:val="720"/>
        </w:trPr>
        <w:tc>
          <w:tcPr>
            <w:tcW w:w="557" w:type="pct"/>
            <w:tcBorders>
              <w:top w:val="nil"/>
              <w:left w:val="single" w:sz="4" w:space="0" w:color="auto"/>
              <w:bottom w:val="single" w:sz="4" w:space="0" w:color="auto"/>
              <w:right w:val="single" w:sz="4" w:space="0" w:color="auto"/>
            </w:tcBorders>
            <w:shd w:val="clear" w:color="auto" w:fill="auto"/>
            <w:vAlign w:val="center"/>
            <w:hideMark/>
          </w:tcPr>
          <w:p w14:paraId="3528E246" w14:textId="77777777" w:rsidR="00914596" w:rsidRPr="00914596" w:rsidRDefault="00914596" w:rsidP="00914596">
            <w:pPr>
              <w:spacing w:after="0" w:line="240" w:lineRule="auto"/>
              <w:jc w:val="right"/>
              <w:rPr>
                <w:rFonts w:ascii="Arial" w:eastAsia="Times New Roman" w:hAnsi="Arial" w:cs="Arial"/>
                <w:b/>
                <w:bCs/>
                <w:sz w:val="20"/>
                <w:szCs w:val="20"/>
                <w:lang w:eastAsia="es-CO"/>
              </w:rPr>
            </w:pPr>
            <w:r w:rsidRPr="00914596">
              <w:rPr>
                <w:rFonts w:ascii="Arial" w:eastAsia="Times New Roman" w:hAnsi="Arial" w:cs="Arial"/>
                <w:b/>
                <w:bCs/>
                <w:sz w:val="20"/>
                <w:szCs w:val="20"/>
                <w:lang w:eastAsia="es-CO"/>
              </w:rPr>
              <w:t>2.1.2.D.</w:t>
            </w:r>
          </w:p>
        </w:tc>
        <w:tc>
          <w:tcPr>
            <w:tcW w:w="985" w:type="pct"/>
            <w:tcBorders>
              <w:top w:val="nil"/>
              <w:left w:val="nil"/>
              <w:bottom w:val="single" w:sz="4" w:space="0" w:color="auto"/>
              <w:right w:val="single" w:sz="4" w:space="0" w:color="auto"/>
            </w:tcBorders>
            <w:shd w:val="clear" w:color="auto" w:fill="auto"/>
            <w:vAlign w:val="center"/>
            <w:hideMark/>
          </w:tcPr>
          <w:p w14:paraId="7C7D5CCF"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Plataforma OTT propia diseñada e implementada</w:t>
            </w:r>
          </w:p>
        </w:tc>
        <w:tc>
          <w:tcPr>
            <w:tcW w:w="545" w:type="pct"/>
            <w:tcBorders>
              <w:top w:val="nil"/>
              <w:left w:val="nil"/>
              <w:bottom w:val="single" w:sz="4" w:space="0" w:color="auto"/>
              <w:right w:val="single" w:sz="4" w:space="0" w:color="auto"/>
            </w:tcBorders>
            <w:shd w:val="clear" w:color="auto" w:fill="auto"/>
            <w:vAlign w:val="center"/>
            <w:hideMark/>
          </w:tcPr>
          <w:p w14:paraId="705E790B" w14:textId="77777777" w:rsidR="00914596" w:rsidRPr="00914596" w:rsidRDefault="00914596" w:rsidP="00914596">
            <w:pPr>
              <w:spacing w:after="0" w:line="240" w:lineRule="auto"/>
              <w:jc w:val="both"/>
              <w:rPr>
                <w:rFonts w:ascii="Arial" w:eastAsia="Times New Roman" w:hAnsi="Arial" w:cs="Arial"/>
                <w:sz w:val="20"/>
                <w:szCs w:val="20"/>
                <w:lang w:eastAsia="es-CO"/>
              </w:rPr>
            </w:pPr>
            <w:r w:rsidRPr="00914596">
              <w:rPr>
                <w:rFonts w:ascii="Arial" w:eastAsia="Times New Roman" w:hAnsi="Arial" w:cs="Arial"/>
                <w:sz w:val="20"/>
                <w:szCs w:val="20"/>
                <w:lang w:eastAsia="es-CO"/>
              </w:rPr>
              <w:t>Producto</w:t>
            </w:r>
          </w:p>
        </w:tc>
        <w:tc>
          <w:tcPr>
            <w:tcW w:w="464" w:type="pct"/>
            <w:tcBorders>
              <w:top w:val="nil"/>
              <w:left w:val="nil"/>
              <w:bottom w:val="single" w:sz="4" w:space="0" w:color="auto"/>
              <w:right w:val="single" w:sz="4" w:space="0" w:color="auto"/>
            </w:tcBorders>
            <w:shd w:val="clear" w:color="auto" w:fill="auto"/>
            <w:vAlign w:val="center"/>
            <w:hideMark/>
          </w:tcPr>
          <w:p w14:paraId="735680F8"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0,00%</w:t>
            </w:r>
          </w:p>
        </w:tc>
        <w:tc>
          <w:tcPr>
            <w:tcW w:w="527" w:type="pct"/>
            <w:tcBorders>
              <w:top w:val="nil"/>
              <w:left w:val="nil"/>
              <w:bottom w:val="single" w:sz="4" w:space="0" w:color="auto"/>
              <w:right w:val="single" w:sz="4" w:space="0" w:color="auto"/>
            </w:tcBorders>
            <w:shd w:val="clear" w:color="auto" w:fill="auto"/>
            <w:vAlign w:val="center"/>
            <w:hideMark/>
          </w:tcPr>
          <w:p w14:paraId="589EB289"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100,00%</w:t>
            </w:r>
          </w:p>
        </w:tc>
        <w:tc>
          <w:tcPr>
            <w:tcW w:w="464" w:type="pct"/>
            <w:tcBorders>
              <w:top w:val="nil"/>
              <w:left w:val="nil"/>
              <w:bottom w:val="single" w:sz="4" w:space="0" w:color="auto"/>
              <w:right w:val="single" w:sz="4" w:space="0" w:color="auto"/>
            </w:tcBorders>
            <w:shd w:val="clear" w:color="auto" w:fill="auto"/>
            <w:vAlign w:val="center"/>
            <w:hideMark/>
          </w:tcPr>
          <w:p w14:paraId="5B342921"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0,00%</w:t>
            </w:r>
          </w:p>
        </w:tc>
        <w:tc>
          <w:tcPr>
            <w:tcW w:w="464" w:type="pct"/>
            <w:tcBorders>
              <w:top w:val="nil"/>
              <w:left w:val="nil"/>
              <w:bottom w:val="single" w:sz="4" w:space="0" w:color="auto"/>
              <w:right w:val="single" w:sz="4" w:space="0" w:color="auto"/>
            </w:tcBorders>
            <w:shd w:val="clear" w:color="auto" w:fill="auto"/>
            <w:vAlign w:val="center"/>
            <w:hideMark/>
          </w:tcPr>
          <w:p w14:paraId="7B1ABE63"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0,00%</w:t>
            </w:r>
          </w:p>
        </w:tc>
        <w:tc>
          <w:tcPr>
            <w:tcW w:w="464" w:type="pct"/>
            <w:tcBorders>
              <w:top w:val="nil"/>
              <w:left w:val="nil"/>
              <w:bottom w:val="single" w:sz="4" w:space="0" w:color="auto"/>
              <w:right w:val="single" w:sz="4" w:space="0" w:color="auto"/>
            </w:tcBorders>
            <w:shd w:val="clear" w:color="auto" w:fill="auto"/>
            <w:noWrap/>
            <w:vAlign w:val="center"/>
            <w:hideMark/>
          </w:tcPr>
          <w:p w14:paraId="4C06CF47"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50,00%</w:t>
            </w:r>
          </w:p>
        </w:tc>
        <w:tc>
          <w:tcPr>
            <w:tcW w:w="527" w:type="pct"/>
            <w:tcBorders>
              <w:top w:val="nil"/>
              <w:left w:val="nil"/>
              <w:bottom w:val="single" w:sz="4" w:space="0" w:color="auto"/>
              <w:right w:val="single" w:sz="4" w:space="0" w:color="auto"/>
            </w:tcBorders>
            <w:shd w:val="clear" w:color="auto" w:fill="auto"/>
            <w:noWrap/>
            <w:vAlign w:val="center"/>
            <w:hideMark/>
          </w:tcPr>
          <w:p w14:paraId="3C4AC59D" w14:textId="77777777" w:rsidR="00914596" w:rsidRPr="00914596" w:rsidRDefault="00914596" w:rsidP="00914596">
            <w:pPr>
              <w:spacing w:after="0" w:line="240" w:lineRule="auto"/>
              <w:jc w:val="center"/>
              <w:rPr>
                <w:rFonts w:ascii="Arial" w:eastAsia="Times New Roman" w:hAnsi="Arial" w:cs="Arial"/>
                <w:sz w:val="20"/>
                <w:szCs w:val="20"/>
                <w:lang w:eastAsia="es-CO"/>
              </w:rPr>
            </w:pPr>
            <w:r w:rsidRPr="00914596">
              <w:rPr>
                <w:rFonts w:ascii="Arial" w:eastAsia="Times New Roman" w:hAnsi="Arial" w:cs="Arial"/>
                <w:sz w:val="20"/>
                <w:szCs w:val="20"/>
                <w:lang w:eastAsia="es-CO"/>
              </w:rPr>
              <w:t>100,00%</w:t>
            </w:r>
          </w:p>
        </w:tc>
      </w:tr>
    </w:tbl>
    <w:p w14:paraId="54329975" w14:textId="6632FAE0" w:rsidR="00535ADC" w:rsidRPr="00FE34CE" w:rsidRDefault="00535ADC" w:rsidP="00BC2BA2">
      <w:pPr>
        <w:spacing w:line="360" w:lineRule="auto"/>
        <w:rPr>
          <w:rFonts w:asciiTheme="minorHAnsi" w:hAnsiTheme="minorHAnsi" w:cstheme="minorHAnsi"/>
        </w:rPr>
      </w:pPr>
    </w:p>
    <w:sectPr w:rsidR="00535ADC" w:rsidRPr="00FE34CE" w:rsidSect="00837C04">
      <w:footerReference w:type="first" r:id="rId11"/>
      <w:pgSz w:w="12240" w:h="15840" w:code="125"/>
      <w:pgMar w:top="1418" w:right="1701" w:bottom="1418" w:left="1701" w:header="70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DFE4A5" w14:textId="77777777" w:rsidR="002432F2" w:rsidRDefault="002432F2" w:rsidP="00407214">
      <w:pPr>
        <w:spacing w:after="0" w:line="240" w:lineRule="auto"/>
      </w:pPr>
      <w:r>
        <w:separator/>
      </w:r>
    </w:p>
  </w:endnote>
  <w:endnote w:type="continuationSeparator" w:id="0">
    <w:p w14:paraId="650F28DB" w14:textId="77777777" w:rsidR="002432F2" w:rsidRDefault="002432F2" w:rsidP="004072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085998" w14:textId="77777777" w:rsidR="0058504F" w:rsidRDefault="005657C6" w:rsidP="00941ED3">
    <w:pPr>
      <w:pStyle w:val="Piedepgina"/>
      <w:ind w:left="-1701"/>
    </w:pPr>
    <w:r>
      <w:rPr>
        <w:noProof/>
        <w:lang w:eastAsia="es-CO"/>
      </w:rPr>
      <w:drawing>
        <wp:anchor distT="0" distB="0" distL="114300" distR="114300" simplePos="0" relativeHeight="251658240" behindDoc="1" locked="0" layoutInCell="1" allowOverlap="1" wp14:anchorId="052B1C69" wp14:editId="61ED9506">
          <wp:simplePos x="0" y="0"/>
          <wp:positionH relativeFrom="margin">
            <wp:align>center</wp:align>
          </wp:positionH>
          <wp:positionV relativeFrom="bottomMargin">
            <wp:align>top</wp:align>
          </wp:positionV>
          <wp:extent cx="6112800" cy="900000"/>
          <wp:effectExtent l="0" t="0" r="254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brete.jpg"/>
                  <pic:cNvPicPr/>
                </pic:nvPicPr>
                <pic:blipFill>
                  <a:blip r:embed="rId1">
                    <a:extLst>
                      <a:ext uri="{28A0092B-C50C-407E-A947-70E740481C1C}">
                        <a14:useLocalDpi xmlns:a14="http://schemas.microsoft.com/office/drawing/2010/main" val="0"/>
                      </a:ext>
                    </a:extLst>
                  </a:blip>
                  <a:stretch>
                    <a:fillRect/>
                  </a:stretch>
                </pic:blipFill>
                <pic:spPr>
                  <a:xfrm>
                    <a:off x="0" y="0"/>
                    <a:ext cx="6112800" cy="90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07DB7" w14:textId="77777777" w:rsidR="002432F2" w:rsidRDefault="002432F2" w:rsidP="00407214">
      <w:pPr>
        <w:spacing w:after="0" w:line="240" w:lineRule="auto"/>
      </w:pPr>
      <w:r>
        <w:separator/>
      </w:r>
    </w:p>
  </w:footnote>
  <w:footnote w:type="continuationSeparator" w:id="0">
    <w:p w14:paraId="3FD64DF6" w14:textId="77777777" w:rsidR="002432F2" w:rsidRDefault="002432F2" w:rsidP="004072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0093E"/>
    <w:multiLevelType w:val="hybridMultilevel"/>
    <w:tmpl w:val="91862F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0096CD4"/>
    <w:multiLevelType w:val="multilevel"/>
    <w:tmpl w:val="4218FA9C"/>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eastAsia="Arial" w:hint="default"/>
        <w:b/>
      </w:rPr>
    </w:lvl>
    <w:lvl w:ilvl="2">
      <w:start w:val="1"/>
      <w:numFmt w:val="decimal"/>
      <w:isLgl/>
      <w:lvlText w:val="%1.%2.%3."/>
      <w:lvlJc w:val="left"/>
      <w:pPr>
        <w:ind w:left="1080" w:hanging="720"/>
      </w:pPr>
      <w:rPr>
        <w:rFonts w:eastAsia="Arial" w:hint="default"/>
        <w:b/>
      </w:rPr>
    </w:lvl>
    <w:lvl w:ilvl="3">
      <w:start w:val="1"/>
      <w:numFmt w:val="decimal"/>
      <w:isLgl/>
      <w:lvlText w:val="%1.%2.%3.%4."/>
      <w:lvlJc w:val="left"/>
      <w:pPr>
        <w:ind w:left="1080" w:hanging="72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440" w:hanging="108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1800" w:hanging="144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2" w15:restartNumberingAfterBreak="0">
    <w:nsid w:val="137227EA"/>
    <w:multiLevelType w:val="hybridMultilevel"/>
    <w:tmpl w:val="EB743F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53D3D28"/>
    <w:multiLevelType w:val="hybridMultilevel"/>
    <w:tmpl w:val="A7FA9C6E"/>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2A762E92"/>
    <w:multiLevelType w:val="hybridMultilevel"/>
    <w:tmpl w:val="C9123D5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4E067ED0"/>
    <w:multiLevelType w:val="hybridMultilevel"/>
    <w:tmpl w:val="9558EB9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58C00FAB"/>
    <w:multiLevelType w:val="hybridMultilevel"/>
    <w:tmpl w:val="B08EB1D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5CF314C9"/>
    <w:multiLevelType w:val="hybridMultilevel"/>
    <w:tmpl w:val="4C500E7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6"/>
  </w:num>
  <w:num w:numId="4">
    <w:abstractNumId w:val="4"/>
  </w:num>
  <w:num w:numId="5">
    <w:abstractNumId w:val="3"/>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214"/>
    <w:rsid w:val="00022D50"/>
    <w:rsid w:val="00025B1B"/>
    <w:rsid w:val="000331D6"/>
    <w:rsid w:val="000347F6"/>
    <w:rsid w:val="00034C3F"/>
    <w:rsid w:val="00037C25"/>
    <w:rsid w:val="00041477"/>
    <w:rsid w:val="00041A17"/>
    <w:rsid w:val="00050DDE"/>
    <w:rsid w:val="00051770"/>
    <w:rsid w:val="00065FEA"/>
    <w:rsid w:val="0006710F"/>
    <w:rsid w:val="000707D3"/>
    <w:rsid w:val="00075E97"/>
    <w:rsid w:val="00082402"/>
    <w:rsid w:val="000909DA"/>
    <w:rsid w:val="00096001"/>
    <w:rsid w:val="00096EF2"/>
    <w:rsid w:val="000E53BA"/>
    <w:rsid w:val="000F6B8E"/>
    <w:rsid w:val="000F7C81"/>
    <w:rsid w:val="0011777B"/>
    <w:rsid w:val="00133037"/>
    <w:rsid w:val="001429E3"/>
    <w:rsid w:val="00144200"/>
    <w:rsid w:val="00150875"/>
    <w:rsid w:val="00162F08"/>
    <w:rsid w:val="00164DA6"/>
    <w:rsid w:val="00176959"/>
    <w:rsid w:val="0018099B"/>
    <w:rsid w:val="00180E37"/>
    <w:rsid w:val="00186821"/>
    <w:rsid w:val="00195231"/>
    <w:rsid w:val="00195917"/>
    <w:rsid w:val="001B4DA7"/>
    <w:rsid w:val="001B723B"/>
    <w:rsid w:val="001C42E2"/>
    <w:rsid w:val="001C7A73"/>
    <w:rsid w:val="001D3286"/>
    <w:rsid w:val="001D3DA2"/>
    <w:rsid w:val="001F36C5"/>
    <w:rsid w:val="00204285"/>
    <w:rsid w:val="00212F0E"/>
    <w:rsid w:val="00220306"/>
    <w:rsid w:val="002229C4"/>
    <w:rsid w:val="00230716"/>
    <w:rsid w:val="002400B9"/>
    <w:rsid w:val="002418EA"/>
    <w:rsid w:val="002432F2"/>
    <w:rsid w:val="002608D4"/>
    <w:rsid w:val="00261330"/>
    <w:rsid w:val="00264172"/>
    <w:rsid w:val="00266D0C"/>
    <w:rsid w:val="00295966"/>
    <w:rsid w:val="00296CD1"/>
    <w:rsid w:val="002A394D"/>
    <w:rsid w:val="002B5286"/>
    <w:rsid w:val="002C0220"/>
    <w:rsid w:val="002D16D2"/>
    <w:rsid w:val="002D3FB0"/>
    <w:rsid w:val="002E0117"/>
    <w:rsid w:val="0030181E"/>
    <w:rsid w:val="003122BB"/>
    <w:rsid w:val="0031308D"/>
    <w:rsid w:val="00313E7B"/>
    <w:rsid w:val="00320B81"/>
    <w:rsid w:val="003223EA"/>
    <w:rsid w:val="00331644"/>
    <w:rsid w:val="003350B3"/>
    <w:rsid w:val="003366B0"/>
    <w:rsid w:val="003448AC"/>
    <w:rsid w:val="00363977"/>
    <w:rsid w:val="00375356"/>
    <w:rsid w:val="0038316C"/>
    <w:rsid w:val="00384696"/>
    <w:rsid w:val="003A5199"/>
    <w:rsid w:val="003B1673"/>
    <w:rsid w:val="003C30BD"/>
    <w:rsid w:val="003C6283"/>
    <w:rsid w:val="003D0D2C"/>
    <w:rsid w:val="003F4026"/>
    <w:rsid w:val="00407214"/>
    <w:rsid w:val="00412518"/>
    <w:rsid w:val="004332E4"/>
    <w:rsid w:val="00435113"/>
    <w:rsid w:val="00444AEB"/>
    <w:rsid w:val="00446B17"/>
    <w:rsid w:val="004534AF"/>
    <w:rsid w:val="0045567B"/>
    <w:rsid w:val="00455939"/>
    <w:rsid w:val="004573C9"/>
    <w:rsid w:val="00482F56"/>
    <w:rsid w:val="00490AC7"/>
    <w:rsid w:val="00495578"/>
    <w:rsid w:val="004A08D7"/>
    <w:rsid w:val="004C314D"/>
    <w:rsid w:val="004D25A7"/>
    <w:rsid w:val="004E0ED8"/>
    <w:rsid w:val="004E5F98"/>
    <w:rsid w:val="00501B68"/>
    <w:rsid w:val="0050492B"/>
    <w:rsid w:val="005161FE"/>
    <w:rsid w:val="005168B8"/>
    <w:rsid w:val="0053106B"/>
    <w:rsid w:val="005352EF"/>
    <w:rsid w:val="00535ADC"/>
    <w:rsid w:val="0054059D"/>
    <w:rsid w:val="00541378"/>
    <w:rsid w:val="00546E5A"/>
    <w:rsid w:val="0055691B"/>
    <w:rsid w:val="0056038E"/>
    <w:rsid w:val="005657C6"/>
    <w:rsid w:val="00582E43"/>
    <w:rsid w:val="0058504F"/>
    <w:rsid w:val="00585B50"/>
    <w:rsid w:val="005869AB"/>
    <w:rsid w:val="005A1132"/>
    <w:rsid w:val="005A3F5E"/>
    <w:rsid w:val="005C448A"/>
    <w:rsid w:val="005D3576"/>
    <w:rsid w:val="005E1C88"/>
    <w:rsid w:val="005E2296"/>
    <w:rsid w:val="005F03D3"/>
    <w:rsid w:val="00610CEB"/>
    <w:rsid w:val="00623EB8"/>
    <w:rsid w:val="00630B75"/>
    <w:rsid w:val="00633ACE"/>
    <w:rsid w:val="006413B2"/>
    <w:rsid w:val="00644DB8"/>
    <w:rsid w:val="00650E96"/>
    <w:rsid w:val="0065135D"/>
    <w:rsid w:val="00652FA8"/>
    <w:rsid w:val="0065674E"/>
    <w:rsid w:val="006814DC"/>
    <w:rsid w:val="00681668"/>
    <w:rsid w:val="006833C5"/>
    <w:rsid w:val="00687DFA"/>
    <w:rsid w:val="00687F7A"/>
    <w:rsid w:val="006963D0"/>
    <w:rsid w:val="006A25AA"/>
    <w:rsid w:val="006A2870"/>
    <w:rsid w:val="006A3E1E"/>
    <w:rsid w:val="006A791C"/>
    <w:rsid w:val="006B73F7"/>
    <w:rsid w:val="006C6F10"/>
    <w:rsid w:val="006D73B9"/>
    <w:rsid w:val="006F1F45"/>
    <w:rsid w:val="006F3FBF"/>
    <w:rsid w:val="007014C6"/>
    <w:rsid w:val="00712E60"/>
    <w:rsid w:val="0071586A"/>
    <w:rsid w:val="0072137B"/>
    <w:rsid w:val="00724C91"/>
    <w:rsid w:val="0073315D"/>
    <w:rsid w:val="00742CDC"/>
    <w:rsid w:val="0074650C"/>
    <w:rsid w:val="00755B51"/>
    <w:rsid w:val="007570D3"/>
    <w:rsid w:val="00761788"/>
    <w:rsid w:val="00765940"/>
    <w:rsid w:val="007670B8"/>
    <w:rsid w:val="0077386A"/>
    <w:rsid w:val="00782A5B"/>
    <w:rsid w:val="007A0A79"/>
    <w:rsid w:val="007A2656"/>
    <w:rsid w:val="007A44ED"/>
    <w:rsid w:val="007A7248"/>
    <w:rsid w:val="007B726E"/>
    <w:rsid w:val="007E06A4"/>
    <w:rsid w:val="007E218C"/>
    <w:rsid w:val="007E4525"/>
    <w:rsid w:val="007F4AE9"/>
    <w:rsid w:val="00806494"/>
    <w:rsid w:val="008132D8"/>
    <w:rsid w:val="00822C42"/>
    <w:rsid w:val="008328BE"/>
    <w:rsid w:val="00835ADD"/>
    <w:rsid w:val="008361A1"/>
    <w:rsid w:val="00837C04"/>
    <w:rsid w:val="008413AA"/>
    <w:rsid w:val="008413C3"/>
    <w:rsid w:val="008562F8"/>
    <w:rsid w:val="0086303E"/>
    <w:rsid w:val="0087258D"/>
    <w:rsid w:val="00874A58"/>
    <w:rsid w:val="008767C8"/>
    <w:rsid w:val="00885476"/>
    <w:rsid w:val="0089473D"/>
    <w:rsid w:val="008A3D3F"/>
    <w:rsid w:val="008A74BA"/>
    <w:rsid w:val="008E0164"/>
    <w:rsid w:val="008E3F55"/>
    <w:rsid w:val="008F7E61"/>
    <w:rsid w:val="009017C4"/>
    <w:rsid w:val="00914596"/>
    <w:rsid w:val="00916DE0"/>
    <w:rsid w:val="00921D9A"/>
    <w:rsid w:val="0093519F"/>
    <w:rsid w:val="00941D9D"/>
    <w:rsid w:val="00941ED3"/>
    <w:rsid w:val="00947166"/>
    <w:rsid w:val="0094765C"/>
    <w:rsid w:val="0095445F"/>
    <w:rsid w:val="00954DE3"/>
    <w:rsid w:val="00955BC1"/>
    <w:rsid w:val="00961715"/>
    <w:rsid w:val="00961AD6"/>
    <w:rsid w:val="0096370E"/>
    <w:rsid w:val="00983EED"/>
    <w:rsid w:val="0099068B"/>
    <w:rsid w:val="0099435D"/>
    <w:rsid w:val="009A4134"/>
    <w:rsid w:val="009A684A"/>
    <w:rsid w:val="009B0280"/>
    <w:rsid w:val="009B1E54"/>
    <w:rsid w:val="009B2F68"/>
    <w:rsid w:val="009B6FD7"/>
    <w:rsid w:val="009C1EF7"/>
    <w:rsid w:val="009C3A86"/>
    <w:rsid w:val="009E714F"/>
    <w:rsid w:val="009F18CB"/>
    <w:rsid w:val="009F269F"/>
    <w:rsid w:val="009F6692"/>
    <w:rsid w:val="00A0525C"/>
    <w:rsid w:val="00A06EF9"/>
    <w:rsid w:val="00A10D45"/>
    <w:rsid w:val="00A132DC"/>
    <w:rsid w:val="00A15244"/>
    <w:rsid w:val="00A16815"/>
    <w:rsid w:val="00A16DA5"/>
    <w:rsid w:val="00A21A99"/>
    <w:rsid w:val="00A364BA"/>
    <w:rsid w:val="00A51035"/>
    <w:rsid w:val="00A61EF1"/>
    <w:rsid w:val="00A72F35"/>
    <w:rsid w:val="00A749EA"/>
    <w:rsid w:val="00A80869"/>
    <w:rsid w:val="00A8248A"/>
    <w:rsid w:val="00A83934"/>
    <w:rsid w:val="00A83C03"/>
    <w:rsid w:val="00AA1CF1"/>
    <w:rsid w:val="00AA7E0E"/>
    <w:rsid w:val="00AB166E"/>
    <w:rsid w:val="00AB1D4F"/>
    <w:rsid w:val="00AC1784"/>
    <w:rsid w:val="00AC1855"/>
    <w:rsid w:val="00AC5667"/>
    <w:rsid w:val="00AD47F8"/>
    <w:rsid w:val="00AE4D68"/>
    <w:rsid w:val="00AF4F21"/>
    <w:rsid w:val="00B0067A"/>
    <w:rsid w:val="00B0204B"/>
    <w:rsid w:val="00B1602A"/>
    <w:rsid w:val="00B23DBF"/>
    <w:rsid w:val="00B332FE"/>
    <w:rsid w:val="00B41916"/>
    <w:rsid w:val="00B57133"/>
    <w:rsid w:val="00B62169"/>
    <w:rsid w:val="00B9233D"/>
    <w:rsid w:val="00BA3D17"/>
    <w:rsid w:val="00BB159A"/>
    <w:rsid w:val="00BB3B9A"/>
    <w:rsid w:val="00BC05EC"/>
    <w:rsid w:val="00BC241C"/>
    <w:rsid w:val="00BC2BA2"/>
    <w:rsid w:val="00BF5853"/>
    <w:rsid w:val="00C06802"/>
    <w:rsid w:val="00C06A20"/>
    <w:rsid w:val="00C11CA5"/>
    <w:rsid w:val="00C136EB"/>
    <w:rsid w:val="00C138E8"/>
    <w:rsid w:val="00C24DCC"/>
    <w:rsid w:val="00C2530D"/>
    <w:rsid w:val="00C27511"/>
    <w:rsid w:val="00C33FB0"/>
    <w:rsid w:val="00C510B8"/>
    <w:rsid w:val="00C51946"/>
    <w:rsid w:val="00C533EC"/>
    <w:rsid w:val="00C55CAC"/>
    <w:rsid w:val="00C61ECB"/>
    <w:rsid w:val="00C67F98"/>
    <w:rsid w:val="00C7451E"/>
    <w:rsid w:val="00C77D68"/>
    <w:rsid w:val="00C82F3A"/>
    <w:rsid w:val="00C8551C"/>
    <w:rsid w:val="00C90D5E"/>
    <w:rsid w:val="00C91DDF"/>
    <w:rsid w:val="00CA18FC"/>
    <w:rsid w:val="00CB2AD1"/>
    <w:rsid w:val="00CC086C"/>
    <w:rsid w:val="00CC115D"/>
    <w:rsid w:val="00CC14D0"/>
    <w:rsid w:val="00CC6F66"/>
    <w:rsid w:val="00CD380E"/>
    <w:rsid w:val="00CD3A15"/>
    <w:rsid w:val="00CE5417"/>
    <w:rsid w:val="00CE584B"/>
    <w:rsid w:val="00CE71B3"/>
    <w:rsid w:val="00CF1BF9"/>
    <w:rsid w:val="00CF7865"/>
    <w:rsid w:val="00D11EC7"/>
    <w:rsid w:val="00D1318D"/>
    <w:rsid w:val="00D17A86"/>
    <w:rsid w:val="00D2090D"/>
    <w:rsid w:val="00D231DA"/>
    <w:rsid w:val="00D2633D"/>
    <w:rsid w:val="00D31C3D"/>
    <w:rsid w:val="00D34F1C"/>
    <w:rsid w:val="00D4540B"/>
    <w:rsid w:val="00D47335"/>
    <w:rsid w:val="00D63C22"/>
    <w:rsid w:val="00D6489A"/>
    <w:rsid w:val="00D702AE"/>
    <w:rsid w:val="00D720C6"/>
    <w:rsid w:val="00D75750"/>
    <w:rsid w:val="00D75C4F"/>
    <w:rsid w:val="00D83C03"/>
    <w:rsid w:val="00D94CFF"/>
    <w:rsid w:val="00D96D65"/>
    <w:rsid w:val="00DA26A1"/>
    <w:rsid w:val="00DC0B51"/>
    <w:rsid w:val="00DC579D"/>
    <w:rsid w:val="00E06278"/>
    <w:rsid w:val="00E20688"/>
    <w:rsid w:val="00E3016B"/>
    <w:rsid w:val="00E35486"/>
    <w:rsid w:val="00E50614"/>
    <w:rsid w:val="00E50A49"/>
    <w:rsid w:val="00E640F9"/>
    <w:rsid w:val="00E65148"/>
    <w:rsid w:val="00E72F80"/>
    <w:rsid w:val="00E808B8"/>
    <w:rsid w:val="00E851DC"/>
    <w:rsid w:val="00E85DC0"/>
    <w:rsid w:val="00E92D99"/>
    <w:rsid w:val="00EA4F65"/>
    <w:rsid w:val="00EA76F4"/>
    <w:rsid w:val="00EC68F9"/>
    <w:rsid w:val="00EE7FBF"/>
    <w:rsid w:val="00F02206"/>
    <w:rsid w:val="00F167D8"/>
    <w:rsid w:val="00F21775"/>
    <w:rsid w:val="00F25F40"/>
    <w:rsid w:val="00F37A29"/>
    <w:rsid w:val="00F43B0F"/>
    <w:rsid w:val="00F5283C"/>
    <w:rsid w:val="00F53CF1"/>
    <w:rsid w:val="00F56E54"/>
    <w:rsid w:val="00F701C3"/>
    <w:rsid w:val="00F80B9E"/>
    <w:rsid w:val="00F8324D"/>
    <w:rsid w:val="00F867EA"/>
    <w:rsid w:val="00F87348"/>
    <w:rsid w:val="00F96585"/>
    <w:rsid w:val="00FA1044"/>
    <w:rsid w:val="00FA5B90"/>
    <w:rsid w:val="00FB0370"/>
    <w:rsid w:val="00FB3E65"/>
    <w:rsid w:val="00FB7FF3"/>
    <w:rsid w:val="00FC13A7"/>
    <w:rsid w:val="00FC24A1"/>
    <w:rsid w:val="00FD0185"/>
    <w:rsid w:val="00FD0984"/>
    <w:rsid w:val="00FD29E6"/>
    <w:rsid w:val="00FE0ED5"/>
    <w:rsid w:val="00FE1756"/>
    <w:rsid w:val="00FE1B97"/>
    <w:rsid w:val="00FE1DF2"/>
    <w:rsid w:val="00FE34CE"/>
    <w:rsid w:val="00FF5376"/>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B4B955"/>
  <w15:docId w15:val="{27CE7D7C-4DF3-40DE-B389-AE1FF6FDA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B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407214"/>
    <w:pPr>
      <w:spacing w:after="0" w:line="240" w:lineRule="auto"/>
    </w:pPr>
  </w:style>
  <w:style w:type="character" w:styleId="Hipervnculo">
    <w:name w:val="Hyperlink"/>
    <w:basedOn w:val="Fuentedeprrafopredeter"/>
    <w:uiPriority w:val="99"/>
    <w:unhideWhenUsed/>
    <w:rsid w:val="00407214"/>
    <w:rPr>
      <w:color w:val="0563C1" w:themeColor="hyperlink"/>
      <w:u w:val="single"/>
    </w:rPr>
  </w:style>
  <w:style w:type="paragraph" w:styleId="Prrafodelista">
    <w:name w:val="List Paragraph"/>
    <w:aliases w:val="titulo 3,Cuadrícula media 1 - Énfasis 21,Lista vistosa - Énfasis 11,Bullet List,FooterText,numbered,List Paragraph1,Paragraphe de liste1,Bulletr List Paragraph,列出段落,列出段落1,lp1,List Paragraph11,Párrafo de lista1,List Paragraph21,Ha,NORMAL"/>
    <w:basedOn w:val="Normal"/>
    <w:link w:val="PrrafodelistaCar"/>
    <w:uiPriority w:val="34"/>
    <w:qFormat/>
    <w:rsid w:val="00407214"/>
    <w:pPr>
      <w:spacing w:after="0" w:line="240" w:lineRule="auto"/>
      <w:ind w:left="720"/>
      <w:contextualSpacing/>
    </w:pPr>
    <w:rPr>
      <w:rFonts w:ascii="Times New Roman" w:hAnsi="Times New Roman" w:cs="Times New Roman"/>
      <w:szCs w:val="24"/>
      <w:lang w:eastAsia="es-CO"/>
    </w:rPr>
  </w:style>
  <w:style w:type="paragraph" w:styleId="Textonotapie">
    <w:name w:val="footnote text"/>
    <w:basedOn w:val="Normal"/>
    <w:link w:val="TextonotapieCar"/>
    <w:uiPriority w:val="99"/>
    <w:semiHidden/>
    <w:unhideWhenUsed/>
    <w:rsid w:val="0040721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07214"/>
    <w:rPr>
      <w:sz w:val="20"/>
      <w:szCs w:val="20"/>
    </w:rPr>
  </w:style>
  <w:style w:type="character" w:styleId="Refdenotaalpie">
    <w:name w:val="footnote reference"/>
    <w:basedOn w:val="Fuentedeprrafopredeter"/>
    <w:uiPriority w:val="99"/>
    <w:semiHidden/>
    <w:unhideWhenUsed/>
    <w:rsid w:val="00407214"/>
    <w:rPr>
      <w:vertAlign w:val="superscript"/>
    </w:rPr>
  </w:style>
  <w:style w:type="paragraph" w:styleId="Piedepgina">
    <w:name w:val="footer"/>
    <w:basedOn w:val="Normal"/>
    <w:link w:val="PiedepginaCar"/>
    <w:uiPriority w:val="99"/>
    <w:unhideWhenUsed/>
    <w:rsid w:val="004072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07214"/>
  </w:style>
  <w:style w:type="character" w:styleId="Refdecomentario">
    <w:name w:val="annotation reference"/>
    <w:basedOn w:val="Fuentedeprrafopredeter"/>
    <w:uiPriority w:val="99"/>
    <w:semiHidden/>
    <w:unhideWhenUsed/>
    <w:rsid w:val="00407214"/>
    <w:rPr>
      <w:sz w:val="16"/>
      <w:szCs w:val="16"/>
    </w:rPr>
  </w:style>
  <w:style w:type="paragraph" w:styleId="Textocomentario">
    <w:name w:val="annotation text"/>
    <w:basedOn w:val="Normal"/>
    <w:link w:val="TextocomentarioCar"/>
    <w:uiPriority w:val="99"/>
    <w:semiHidden/>
    <w:unhideWhenUsed/>
    <w:rsid w:val="004072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07214"/>
    <w:rPr>
      <w:sz w:val="20"/>
      <w:szCs w:val="20"/>
    </w:rPr>
  </w:style>
  <w:style w:type="paragraph" w:styleId="Encabezado">
    <w:name w:val="header"/>
    <w:basedOn w:val="Normal"/>
    <w:link w:val="EncabezadoCar"/>
    <w:uiPriority w:val="99"/>
    <w:unhideWhenUsed/>
    <w:rsid w:val="004072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07214"/>
  </w:style>
  <w:style w:type="paragraph" w:styleId="Textodeglobo">
    <w:name w:val="Balloon Text"/>
    <w:basedOn w:val="Normal"/>
    <w:link w:val="TextodegloboCar"/>
    <w:uiPriority w:val="99"/>
    <w:semiHidden/>
    <w:unhideWhenUsed/>
    <w:rsid w:val="004072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7214"/>
    <w:rPr>
      <w:rFonts w:ascii="Segoe U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407214"/>
    <w:rPr>
      <w:b/>
      <w:bCs/>
    </w:rPr>
  </w:style>
  <w:style w:type="character" w:customStyle="1" w:styleId="AsuntodelcomentarioCar">
    <w:name w:val="Asunto del comentario Car"/>
    <w:basedOn w:val="TextocomentarioCar"/>
    <w:link w:val="Asuntodelcomentario"/>
    <w:uiPriority w:val="99"/>
    <w:semiHidden/>
    <w:rsid w:val="00407214"/>
    <w:rPr>
      <w:b/>
      <w:bCs/>
      <w:sz w:val="20"/>
      <w:szCs w:val="20"/>
    </w:rPr>
  </w:style>
  <w:style w:type="paragraph" w:customStyle="1" w:styleId="Default">
    <w:name w:val="Default"/>
    <w:rsid w:val="00FE1B97"/>
    <w:pPr>
      <w:autoSpaceDE w:val="0"/>
      <w:autoSpaceDN w:val="0"/>
      <w:adjustRightInd w:val="0"/>
      <w:spacing w:after="0" w:line="240" w:lineRule="auto"/>
    </w:pPr>
    <w:rPr>
      <w:rFonts w:ascii="Calibri" w:hAnsi="Calibri" w:cs="Calibri"/>
      <w:color w:val="000000"/>
      <w:szCs w:val="24"/>
    </w:rPr>
  </w:style>
  <w:style w:type="character" w:customStyle="1" w:styleId="PrrafodelistaCar">
    <w:name w:val="Párrafo de lista Car"/>
    <w:aliases w:val="titulo 3 Car,Cuadrícula media 1 - Énfasis 21 Car,Lista vistosa - Énfasis 11 Car,Bullet List Car,FooterText Car,numbered Car,List Paragraph1 Car,Paragraphe de liste1 Car,Bulletr List Paragraph Car,列出段落 Car,列出段落1 Car,lp1 Car,Ha Car"/>
    <w:basedOn w:val="Fuentedeprrafopredeter"/>
    <w:link w:val="Prrafodelista"/>
    <w:uiPriority w:val="34"/>
    <w:locked/>
    <w:rsid w:val="00CF1BF9"/>
    <w:rPr>
      <w:rFonts w:ascii="Times New Roman" w:hAnsi="Times New Roman" w:cs="Times New Roman"/>
      <w:sz w:val="24"/>
      <w:szCs w:val="24"/>
      <w:lang w:eastAsia="es-CO"/>
    </w:rPr>
  </w:style>
  <w:style w:type="character" w:customStyle="1" w:styleId="UnresolvedMention1">
    <w:name w:val="Unresolved Mention1"/>
    <w:basedOn w:val="Fuentedeprrafopredeter"/>
    <w:uiPriority w:val="99"/>
    <w:semiHidden/>
    <w:unhideWhenUsed/>
    <w:rsid w:val="00E640F9"/>
    <w:rPr>
      <w:color w:val="605E5C"/>
      <w:shd w:val="clear" w:color="auto" w:fill="E1DFDD"/>
    </w:rPr>
  </w:style>
  <w:style w:type="paragraph" w:styleId="Bibliografa">
    <w:name w:val="Bibliography"/>
    <w:basedOn w:val="Normal"/>
    <w:next w:val="Normal"/>
    <w:uiPriority w:val="37"/>
    <w:unhideWhenUsed/>
    <w:rsid w:val="009F18CB"/>
  </w:style>
  <w:style w:type="character" w:styleId="Hipervnculovisitado">
    <w:name w:val="FollowedHyperlink"/>
    <w:basedOn w:val="Fuentedeprrafopredeter"/>
    <w:uiPriority w:val="99"/>
    <w:semiHidden/>
    <w:unhideWhenUsed/>
    <w:rsid w:val="000347F6"/>
    <w:rPr>
      <w:color w:val="954F72" w:themeColor="followedHyperlink"/>
      <w:u w:val="single"/>
    </w:rPr>
  </w:style>
  <w:style w:type="character" w:customStyle="1" w:styleId="SinespaciadoCar">
    <w:name w:val="Sin espaciado Car"/>
    <w:link w:val="Sinespaciado"/>
    <w:uiPriority w:val="1"/>
    <w:rsid w:val="00CC115D"/>
  </w:style>
  <w:style w:type="paragraph" w:customStyle="1" w:styleId="PETA04">
    <w:name w:val="PETA_04"/>
    <w:basedOn w:val="Normal"/>
    <w:link w:val="PETA04Char"/>
    <w:qFormat/>
    <w:rsid w:val="00CC115D"/>
    <w:pPr>
      <w:keepNext/>
      <w:spacing w:after="0" w:line="240" w:lineRule="auto"/>
      <w:jc w:val="both"/>
    </w:pPr>
    <w:rPr>
      <w:rFonts w:ascii="Calibri" w:eastAsia="MS Mincho" w:hAnsi="Calibri" w:cs="Calibri"/>
      <w:b/>
      <w:szCs w:val="24"/>
      <w:u w:val="single"/>
      <w:lang w:val="es-ES" w:eastAsia="es-ES"/>
    </w:rPr>
  </w:style>
  <w:style w:type="character" w:customStyle="1" w:styleId="PETA04Char">
    <w:name w:val="PETA_04 Char"/>
    <w:link w:val="PETA04"/>
    <w:rsid w:val="00CC115D"/>
    <w:rPr>
      <w:rFonts w:ascii="Calibri" w:eastAsia="MS Mincho" w:hAnsi="Calibri" w:cs="Calibri"/>
      <w:b/>
      <w:szCs w:val="24"/>
      <w:u w:val="single"/>
      <w:lang w:val="es-ES" w:eastAsia="es-ES"/>
    </w:rPr>
  </w:style>
  <w:style w:type="paragraph" w:customStyle="1" w:styleId="PETA03">
    <w:name w:val="PETA_03"/>
    <w:basedOn w:val="Sinespaciado"/>
    <w:link w:val="PETA03Char"/>
    <w:qFormat/>
    <w:rsid w:val="00CC115D"/>
    <w:pPr>
      <w:keepNext/>
      <w:jc w:val="both"/>
    </w:pPr>
    <w:rPr>
      <w:rFonts w:ascii="Calibri" w:eastAsia="MS Mincho" w:hAnsi="Calibri" w:cs="Calibri"/>
      <w:b/>
      <w:szCs w:val="24"/>
      <w:u w:val="single"/>
      <w:lang w:val="es-ES" w:eastAsia="es-ES"/>
    </w:rPr>
  </w:style>
  <w:style w:type="character" w:customStyle="1" w:styleId="PETA03Char">
    <w:name w:val="PETA_03 Char"/>
    <w:link w:val="PETA03"/>
    <w:rsid w:val="00CC115D"/>
    <w:rPr>
      <w:rFonts w:ascii="Calibri" w:eastAsia="MS Mincho" w:hAnsi="Calibri" w:cs="Calibri"/>
      <w:b/>
      <w:szCs w:val="24"/>
      <w:u w:val="single"/>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91813">
      <w:bodyDiv w:val="1"/>
      <w:marLeft w:val="0"/>
      <w:marRight w:val="0"/>
      <w:marTop w:val="0"/>
      <w:marBottom w:val="0"/>
      <w:divBdr>
        <w:top w:val="none" w:sz="0" w:space="0" w:color="auto"/>
        <w:left w:val="none" w:sz="0" w:space="0" w:color="auto"/>
        <w:bottom w:val="none" w:sz="0" w:space="0" w:color="auto"/>
        <w:right w:val="none" w:sz="0" w:space="0" w:color="auto"/>
      </w:divBdr>
    </w:div>
    <w:div w:id="113984546">
      <w:bodyDiv w:val="1"/>
      <w:marLeft w:val="0"/>
      <w:marRight w:val="0"/>
      <w:marTop w:val="0"/>
      <w:marBottom w:val="0"/>
      <w:divBdr>
        <w:top w:val="none" w:sz="0" w:space="0" w:color="auto"/>
        <w:left w:val="none" w:sz="0" w:space="0" w:color="auto"/>
        <w:bottom w:val="none" w:sz="0" w:space="0" w:color="auto"/>
        <w:right w:val="none" w:sz="0" w:space="0" w:color="auto"/>
      </w:divBdr>
    </w:div>
    <w:div w:id="160394271">
      <w:bodyDiv w:val="1"/>
      <w:marLeft w:val="0"/>
      <w:marRight w:val="0"/>
      <w:marTop w:val="0"/>
      <w:marBottom w:val="0"/>
      <w:divBdr>
        <w:top w:val="none" w:sz="0" w:space="0" w:color="auto"/>
        <w:left w:val="none" w:sz="0" w:space="0" w:color="auto"/>
        <w:bottom w:val="none" w:sz="0" w:space="0" w:color="auto"/>
        <w:right w:val="none" w:sz="0" w:space="0" w:color="auto"/>
      </w:divBdr>
    </w:div>
    <w:div w:id="289827336">
      <w:bodyDiv w:val="1"/>
      <w:marLeft w:val="0"/>
      <w:marRight w:val="0"/>
      <w:marTop w:val="0"/>
      <w:marBottom w:val="0"/>
      <w:divBdr>
        <w:top w:val="none" w:sz="0" w:space="0" w:color="auto"/>
        <w:left w:val="none" w:sz="0" w:space="0" w:color="auto"/>
        <w:bottom w:val="none" w:sz="0" w:space="0" w:color="auto"/>
        <w:right w:val="none" w:sz="0" w:space="0" w:color="auto"/>
      </w:divBdr>
    </w:div>
    <w:div w:id="646252023">
      <w:bodyDiv w:val="1"/>
      <w:marLeft w:val="0"/>
      <w:marRight w:val="0"/>
      <w:marTop w:val="0"/>
      <w:marBottom w:val="0"/>
      <w:divBdr>
        <w:top w:val="none" w:sz="0" w:space="0" w:color="auto"/>
        <w:left w:val="none" w:sz="0" w:space="0" w:color="auto"/>
        <w:bottom w:val="none" w:sz="0" w:space="0" w:color="auto"/>
        <w:right w:val="none" w:sz="0" w:space="0" w:color="auto"/>
      </w:divBdr>
    </w:div>
    <w:div w:id="701057304">
      <w:bodyDiv w:val="1"/>
      <w:marLeft w:val="0"/>
      <w:marRight w:val="0"/>
      <w:marTop w:val="0"/>
      <w:marBottom w:val="0"/>
      <w:divBdr>
        <w:top w:val="none" w:sz="0" w:space="0" w:color="auto"/>
        <w:left w:val="none" w:sz="0" w:space="0" w:color="auto"/>
        <w:bottom w:val="none" w:sz="0" w:space="0" w:color="auto"/>
        <w:right w:val="none" w:sz="0" w:space="0" w:color="auto"/>
      </w:divBdr>
    </w:div>
    <w:div w:id="750472060">
      <w:bodyDiv w:val="1"/>
      <w:marLeft w:val="0"/>
      <w:marRight w:val="0"/>
      <w:marTop w:val="0"/>
      <w:marBottom w:val="0"/>
      <w:divBdr>
        <w:top w:val="none" w:sz="0" w:space="0" w:color="auto"/>
        <w:left w:val="none" w:sz="0" w:space="0" w:color="auto"/>
        <w:bottom w:val="none" w:sz="0" w:space="0" w:color="auto"/>
        <w:right w:val="none" w:sz="0" w:space="0" w:color="auto"/>
      </w:divBdr>
    </w:div>
    <w:div w:id="912470900">
      <w:bodyDiv w:val="1"/>
      <w:marLeft w:val="0"/>
      <w:marRight w:val="0"/>
      <w:marTop w:val="0"/>
      <w:marBottom w:val="0"/>
      <w:divBdr>
        <w:top w:val="none" w:sz="0" w:space="0" w:color="auto"/>
        <w:left w:val="none" w:sz="0" w:space="0" w:color="auto"/>
        <w:bottom w:val="none" w:sz="0" w:space="0" w:color="auto"/>
        <w:right w:val="none" w:sz="0" w:space="0" w:color="auto"/>
      </w:divBdr>
    </w:div>
    <w:div w:id="1010528962">
      <w:bodyDiv w:val="1"/>
      <w:marLeft w:val="0"/>
      <w:marRight w:val="0"/>
      <w:marTop w:val="0"/>
      <w:marBottom w:val="0"/>
      <w:divBdr>
        <w:top w:val="none" w:sz="0" w:space="0" w:color="auto"/>
        <w:left w:val="none" w:sz="0" w:space="0" w:color="auto"/>
        <w:bottom w:val="none" w:sz="0" w:space="0" w:color="auto"/>
        <w:right w:val="none" w:sz="0" w:space="0" w:color="auto"/>
      </w:divBdr>
    </w:div>
    <w:div w:id="1244757750">
      <w:bodyDiv w:val="1"/>
      <w:marLeft w:val="0"/>
      <w:marRight w:val="0"/>
      <w:marTop w:val="0"/>
      <w:marBottom w:val="0"/>
      <w:divBdr>
        <w:top w:val="none" w:sz="0" w:space="0" w:color="auto"/>
        <w:left w:val="none" w:sz="0" w:space="0" w:color="auto"/>
        <w:bottom w:val="none" w:sz="0" w:space="0" w:color="auto"/>
        <w:right w:val="none" w:sz="0" w:space="0" w:color="auto"/>
      </w:divBdr>
    </w:div>
    <w:div w:id="1282685838">
      <w:bodyDiv w:val="1"/>
      <w:marLeft w:val="0"/>
      <w:marRight w:val="0"/>
      <w:marTop w:val="0"/>
      <w:marBottom w:val="0"/>
      <w:divBdr>
        <w:top w:val="none" w:sz="0" w:space="0" w:color="auto"/>
        <w:left w:val="none" w:sz="0" w:space="0" w:color="auto"/>
        <w:bottom w:val="none" w:sz="0" w:space="0" w:color="auto"/>
        <w:right w:val="none" w:sz="0" w:space="0" w:color="auto"/>
      </w:divBdr>
    </w:div>
    <w:div w:id="1380472003">
      <w:bodyDiv w:val="1"/>
      <w:marLeft w:val="0"/>
      <w:marRight w:val="0"/>
      <w:marTop w:val="0"/>
      <w:marBottom w:val="0"/>
      <w:divBdr>
        <w:top w:val="none" w:sz="0" w:space="0" w:color="auto"/>
        <w:left w:val="none" w:sz="0" w:space="0" w:color="auto"/>
        <w:bottom w:val="none" w:sz="0" w:space="0" w:color="auto"/>
        <w:right w:val="none" w:sz="0" w:space="0" w:color="auto"/>
      </w:divBdr>
    </w:div>
    <w:div w:id="1441141076">
      <w:bodyDiv w:val="1"/>
      <w:marLeft w:val="0"/>
      <w:marRight w:val="0"/>
      <w:marTop w:val="0"/>
      <w:marBottom w:val="0"/>
      <w:divBdr>
        <w:top w:val="none" w:sz="0" w:space="0" w:color="auto"/>
        <w:left w:val="none" w:sz="0" w:space="0" w:color="auto"/>
        <w:bottom w:val="none" w:sz="0" w:space="0" w:color="auto"/>
        <w:right w:val="none" w:sz="0" w:space="0" w:color="auto"/>
      </w:divBdr>
    </w:div>
    <w:div w:id="1486581898">
      <w:bodyDiv w:val="1"/>
      <w:marLeft w:val="0"/>
      <w:marRight w:val="0"/>
      <w:marTop w:val="0"/>
      <w:marBottom w:val="0"/>
      <w:divBdr>
        <w:top w:val="none" w:sz="0" w:space="0" w:color="auto"/>
        <w:left w:val="none" w:sz="0" w:space="0" w:color="auto"/>
        <w:bottom w:val="none" w:sz="0" w:space="0" w:color="auto"/>
        <w:right w:val="none" w:sz="0" w:space="0" w:color="auto"/>
      </w:divBdr>
    </w:div>
    <w:div w:id="1575387078">
      <w:bodyDiv w:val="1"/>
      <w:marLeft w:val="0"/>
      <w:marRight w:val="0"/>
      <w:marTop w:val="0"/>
      <w:marBottom w:val="0"/>
      <w:divBdr>
        <w:top w:val="none" w:sz="0" w:space="0" w:color="auto"/>
        <w:left w:val="none" w:sz="0" w:space="0" w:color="auto"/>
        <w:bottom w:val="none" w:sz="0" w:space="0" w:color="auto"/>
        <w:right w:val="none" w:sz="0" w:space="0" w:color="auto"/>
      </w:divBdr>
    </w:div>
    <w:div w:id="1661496338">
      <w:bodyDiv w:val="1"/>
      <w:marLeft w:val="0"/>
      <w:marRight w:val="0"/>
      <w:marTop w:val="0"/>
      <w:marBottom w:val="0"/>
      <w:divBdr>
        <w:top w:val="none" w:sz="0" w:space="0" w:color="auto"/>
        <w:left w:val="none" w:sz="0" w:space="0" w:color="auto"/>
        <w:bottom w:val="none" w:sz="0" w:space="0" w:color="auto"/>
        <w:right w:val="none" w:sz="0" w:space="0" w:color="auto"/>
      </w:divBdr>
    </w:div>
    <w:div w:id="1688292458">
      <w:bodyDiv w:val="1"/>
      <w:marLeft w:val="0"/>
      <w:marRight w:val="0"/>
      <w:marTop w:val="0"/>
      <w:marBottom w:val="0"/>
      <w:divBdr>
        <w:top w:val="none" w:sz="0" w:space="0" w:color="auto"/>
        <w:left w:val="none" w:sz="0" w:space="0" w:color="auto"/>
        <w:bottom w:val="none" w:sz="0" w:space="0" w:color="auto"/>
        <w:right w:val="none" w:sz="0" w:space="0" w:color="auto"/>
      </w:divBdr>
    </w:div>
    <w:div w:id="1715885174">
      <w:bodyDiv w:val="1"/>
      <w:marLeft w:val="0"/>
      <w:marRight w:val="0"/>
      <w:marTop w:val="0"/>
      <w:marBottom w:val="0"/>
      <w:divBdr>
        <w:top w:val="none" w:sz="0" w:space="0" w:color="auto"/>
        <w:left w:val="none" w:sz="0" w:space="0" w:color="auto"/>
        <w:bottom w:val="none" w:sz="0" w:space="0" w:color="auto"/>
        <w:right w:val="none" w:sz="0" w:space="0" w:color="auto"/>
      </w:divBdr>
    </w:div>
    <w:div w:id="1843424466">
      <w:bodyDiv w:val="1"/>
      <w:marLeft w:val="0"/>
      <w:marRight w:val="0"/>
      <w:marTop w:val="0"/>
      <w:marBottom w:val="0"/>
      <w:divBdr>
        <w:top w:val="none" w:sz="0" w:space="0" w:color="auto"/>
        <w:left w:val="none" w:sz="0" w:space="0" w:color="auto"/>
        <w:bottom w:val="none" w:sz="0" w:space="0" w:color="auto"/>
        <w:right w:val="none" w:sz="0" w:space="0" w:color="auto"/>
      </w:divBdr>
    </w:div>
    <w:div w:id="1900550316">
      <w:bodyDiv w:val="1"/>
      <w:marLeft w:val="0"/>
      <w:marRight w:val="0"/>
      <w:marTop w:val="0"/>
      <w:marBottom w:val="0"/>
      <w:divBdr>
        <w:top w:val="none" w:sz="0" w:space="0" w:color="auto"/>
        <w:left w:val="none" w:sz="0" w:space="0" w:color="auto"/>
        <w:bottom w:val="none" w:sz="0" w:space="0" w:color="auto"/>
        <w:right w:val="none" w:sz="0" w:space="0" w:color="auto"/>
      </w:divBdr>
    </w:div>
    <w:div w:id="1901940705">
      <w:bodyDiv w:val="1"/>
      <w:marLeft w:val="0"/>
      <w:marRight w:val="0"/>
      <w:marTop w:val="0"/>
      <w:marBottom w:val="0"/>
      <w:divBdr>
        <w:top w:val="none" w:sz="0" w:space="0" w:color="auto"/>
        <w:left w:val="none" w:sz="0" w:space="0" w:color="auto"/>
        <w:bottom w:val="none" w:sz="0" w:space="0" w:color="auto"/>
        <w:right w:val="none" w:sz="0" w:space="0" w:color="auto"/>
      </w:divBdr>
    </w:div>
    <w:div w:id="1911310715">
      <w:bodyDiv w:val="1"/>
      <w:marLeft w:val="0"/>
      <w:marRight w:val="0"/>
      <w:marTop w:val="0"/>
      <w:marBottom w:val="0"/>
      <w:divBdr>
        <w:top w:val="none" w:sz="0" w:space="0" w:color="auto"/>
        <w:left w:val="none" w:sz="0" w:space="0" w:color="auto"/>
        <w:bottom w:val="none" w:sz="0" w:space="0" w:color="auto"/>
        <w:right w:val="none" w:sz="0" w:space="0" w:color="auto"/>
      </w:divBdr>
    </w:div>
    <w:div w:id="2046102763">
      <w:bodyDiv w:val="1"/>
      <w:marLeft w:val="0"/>
      <w:marRight w:val="0"/>
      <w:marTop w:val="0"/>
      <w:marBottom w:val="0"/>
      <w:divBdr>
        <w:top w:val="none" w:sz="0" w:space="0" w:color="auto"/>
        <w:left w:val="none" w:sz="0" w:space="0" w:color="auto"/>
        <w:bottom w:val="none" w:sz="0" w:space="0" w:color="auto"/>
        <w:right w:val="none" w:sz="0" w:space="0" w:color="auto"/>
      </w:divBdr>
    </w:div>
    <w:div w:id="205942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8CBE8320F6F444A195763F38C35834" ma:contentTypeVersion="13" ma:contentTypeDescription="Create a new document." ma:contentTypeScope="" ma:versionID="c5c91df0cec14c823a4915fcac05f999">
  <xsd:schema xmlns:xsd="http://www.w3.org/2001/XMLSchema" xmlns:xs="http://www.w3.org/2001/XMLSchema" xmlns:p="http://schemas.microsoft.com/office/2006/metadata/properties" xmlns:ns3="d72bc584-02c2-41cf-bc05-1c0c58f4e29f" xmlns:ns4="7ca84d1b-067c-4a7c-9de6-ac95a5c12819" targetNamespace="http://schemas.microsoft.com/office/2006/metadata/properties" ma:root="true" ma:fieldsID="1d1f7b213f36e06be22459d7f00c5654" ns3:_="" ns4:_="">
    <xsd:import namespace="d72bc584-02c2-41cf-bc05-1c0c58f4e29f"/>
    <xsd:import namespace="7ca84d1b-067c-4a7c-9de6-ac95a5c128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bc584-02c2-41cf-bc05-1c0c58f4e2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a84d1b-067c-4a7c-9de6-ac95a5c128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b:Source>
    <b:Tag>Dep20</b:Tag>
    <b:SourceType>InternetSite</b:SourceType>
    <b:Guid>{B273844B-6FEF-4512-BDAB-91F6FFB5C014}</b:Guid>
    <b:Author>
      <b:Author>
        <b:NameList>
          <b:Person>
            <b:Last>(DAFP)</b:Last>
            <b:First>Departamento</b:First>
            <b:Middle>Administrativo de la Función Pública</b:Middle>
          </b:Person>
        </b:NameList>
      </b:Author>
    </b:Author>
    <b:Title>Resultados Medición del Desempeño Institucional 2019</b:Title>
    <b:InternetSiteTitle>funcionpublica.gov.co</b:InternetSiteTitle>
    <b:Year>2020</b:Year>
    <b:Month>Jun</b:Month>
    <b:Day>26</b:Day>
    <b:URL>https://funcionpublicagovco-my.sharepoint.com/:x:/g/personal/eva_funcionpublica_gov_co/EVoTCjLvCfZAteIJ4j0E7RkBEaCz3q7bpEFQqk5jM43Qpg?rtime=h47e--It2Eg</b:URL>
    <b:RefOrder>3</b:RefOrder>
  </b:Source>
  <b:Source>
    <b:Tag>Dep1</b:Tag>
    <b:SourceType>InternetSite</b:SourceType>
    <b:Guid>{46726434-3DE0-4B70-AEA6-3192B5E854FC}</b:Guid>
    <b:Author>
      <b:Author>
        <b:NameList>
          <b:Person>
            <b:Last>(DAFP)</b:Last>
            <b:First>Departamento</b:First>
            <b:Middle>Administrativo de la Función Pública</b:Middle>
          </b:Person>
        </b:NameList>
      </b:Author>
    </b:Author>
    <b:Title>Gestor Normativo</b:Title>
    <b:InternetSiteTitle>funcionpublica.gov.co</b:InternetSiteTitle>
    <b:URL>https://www.funcionpublica.gov.co/eva/gestornormativo/norma.php?i=83433</b:URL>
    <b:RefOrder>1</b:RefOrder>
  </b:Source>
  <b:Source>
    <b:Tag>Dep201</b:Tag>
    <b:SourceType>InternetSite</b:SourceType>
    <b:Guid>{74B05FF2-31F1-4D10-9E8A-74FA183A4E74}</b:Guid>
    <b:Author>
      <b:Author>
        <b:NameList>
          <b:Person>
            <b:Last>(DAFP)</b:Last>
            <b:First>Departamento</b:First>
            <b:Middle>Administrativo de la Función Pública</b:Middle>
          </b:Person>
        </b:NameList>
      </b:Author>
    </b:Author>
    <b:Title>Resultados Medición del Desempeño Institucional 2019</b:Title>
    <b:InternetSiteTitle>funcionpublica.gov.co</b:InternetSiteTitle>
    <b:Year>2020</b:Year>
    <b:Month>Abr</b:Month>
    <b:URL>https://www.funcionpublica.gov.co/documents/28587410/36200637/Definicion+de+indices+de+gestion+y+desempe%C3%B1o.xlsx.pdf/ab90dfcc-7d4b-ed82-9ddc-44f66b0ee75f?t=1589575793023</b:URL>
    <b:RefOrder>4</b:RefOrder>
  </b:Source>
  <b:Source>
    <b:Tag>Dep</b:Tag>
    <b:SourceType>InternetSite</b:SourceType>
    <b:Guid>{21FBA22A-2F98-42CD-A1F8-F0E3D823C0B2}</b:Guid>
    <b:Title>Presentación MIPG</b:Title>
    <b:Author>
      <b:Author>
        <b:NameList>
          <b:Person>
            <b:Last>(DAFP)</b:Last>
            <b:First>Departamento</b:First>
            <b:Middle>Administrativo de la Función Pública</b:Middle>
          </b:Person>
        </b:NameList>
      </b:Author>
    </b:Author>
    <b:InternetSiteTitle>funcionpublica.gov.co</b:InternetSiteTitle>
    <b:URL>https://www.funcionpublica.gov.co/documents/28587410/28587893/2019-05-16_Presentacion_general_mipg.pdf/eb964313-8519-6642-c0ef-886ce308eebc?t=1559248280957</b:URL>
    <b:Year>2018</b:Year>
    <b:RefOrder>2</b:RefOrder>
  </b:Source>
  <b:Source>
    <b:Tag>Dep202</b:Tag>
    <b:SourceType>InternetSite</b:SourceType>
    <b:Guid>{FEB75FE3-B6E3-4837-9133-FEFB84D84B06}</b:Guid>
    <b:Author>
      <b:Author>
        <b:NameList>
          <b:Person>
            <b:Last>(DAFP)</b:Last>
            <b:First>Departamento</b:First>
            <b:Middle>Administrativo de la Función Pública</b:Middle>
          </b:Person>
        </b:NameList>
      </b:Author>
    </b:Author>
    <b:Title>Esquema metodológico para la conformación de grupos par en entidades territoriales</b:Title>
    <b:InternetSiteTitle>funcionpublica.gov.co</b:InternetSiteTitle>
    <b:Year>2020</b:Year>
    <b:Month>Abr</b:Month>
    <b:URL>https://www.funcionpublica.gov.co/documents/28587410/36200637/Grupos+par+orden+territorial.pdf/84e8d650-d73d-27d6-fd93-8695ca6d1524?t=1589575475654</b:URL>
    <b:RefOrder>5</b:RefOrder>
  </b:Source>
</b:Sources>
</file>

<file path=customXml/itemProps1.xml><?xml version="1.0" encoding="utf-8"?>
<ds:datastoreItem xmlns:ds="http://schemas.openxmlformats.org/officeDocument/2006/customXml" ds:itemID="{95DEA3CB-66B5-4905-9DF2-43809D4989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2bc584-02c2-41cf-bc05-1c0c58f4e29f"/>
    <ds:schemaRef ds:uri="7ca84d1b-067c-4a7c-9de6-ac95a5c128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3FB9A-2FE4-4519-A4FB-F3445F6A21D1}">
  <ds:schemaRefs>
    <ds:schemaRef ds:uri="http://schemas.microsoft.com/sharepoint/v3/contenttype/forms"/>
  </ds:schemaRefs>
</ds:datastoreItem>
</file>

<file path=customXml/itemProps3.xml><?xml version="1.0" encoding="utf-8"?>
<ds:datastoreItem xmlns:ds="http://schemas.openxmlformats.org/officeDocument/2006/customXml" ds:itemID="{7F3316F9-C704-4A0A-BE1D-2E82A372CE8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65056F0-EFA7-4CEC-9DDA-0F4EE501D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2130</Words>
  <Characters>11715</Characters>
  <Application>Microsoft Office Word</Application>
  <DocSecurity>0</DocSecurity>
  <Lines>97</Lines>
  <Paragraphs>27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mfrodriguez@teleantioquia.com.co</dc:creator>
  <cp:keywords/>
  <dc:description/>
  <cp:lastModifiedBy>Milena Farina Rodriguez Florez</cp:lastModifiedBy>
  <cp:revision>5</cp:revision>
  <cp:lastPrinted>2020-01-15T15:26:00Z</cp:lastPrinted>
  <dcterms:created xsi:type="dcterms:W3CDTF">2021-01-27T13:18:00Z</dcterms:created>
  <dcterms:modified xsi:type="dcterms:W3CDTF">2021-01-27T13:45:00Z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0x010100E38CBE8320F6F444A195763F38C35834</vt:lpwstr>
  </property>
</Properties>
</file>